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0FDA" w14:textId="77777777" w:rsidR="00B71FA0" w:rsidRDefault="0004094B">
      <w:pPr>
        <w:spacing w:after="120"/>
      </w:pPr>
      <w:r>
        <w:rPr>
          <w:rFonts w:ascii="Bebas Neue" w:eastAsia="Bebas Neue" w:hAnsi="Bebas Neue" w:cs="Bebas Neue"/>
          <w:color w:val="A1ACA6"/>
          <w:sz w:val="20"/>
          <w:szCs w:val="20"/>
        </w:rPr>
        <w:t>JAMIE REID</w:t>
      </w:r>
    </w:p>
    <w:p w14:paraId="118FF7E3" w14:textId="77777777" w:rsidR="00B71FA0" w:rsidRDefault="0004094B">
      <w:r>
        <w:rPr>
          <w:rFonts w:ascii="Bebas Neue" w:eastAsia="Bebas Neue" w:hAnsi="Bebas Neue" w:cs="Bebas Neue"/>
          <w:sz w:val="72"/>
          <w:szCs w:val="72"/>
        </w:rPr>
        <w:t>Partner Upsell &amp;</w:t>
      </w:r>
    </w:p>
    <w:p w14:paraId="5B258333" w14:textId="77777777" w:rsidR="00B71FA0" w:rsidRDefault="0004094B">
      <w:r>
        <w:rPr>
          <w:rFonts w:ascii="Bebas Neue" w:eastAsia="Bebas Neue" w:hAnsi="Bebas Neue" w:cs="Bebas Neue"/>
          <w:sz w:val="72"/>
          <w:szCs w:val="72"/>
        </w:rPr>
        <w:t>Retention</w:t>
      </w:r>
    </w:p>
    <w:p w14:paraId="49271D29" w14:textId="77777777" w:rsidR="00B71FA0" w:rsidRDefault="0004094B">
      <w:pPr>
        <w:spacing w:after="280"/>
      </w:pPr>
      <w:r>
        <w:rPr>
          <w:rFonts w:ascii="Bebas Neue" w:eastAsia="Bebas Neue" w:hAnsi="Bebas Neue" w:cs="Bebas Neue"/>
          <w:color w:val="46624C"/>
          <w:sz w:val="72"/>
          <w:szCs w:val="72"/>
        </w:rPr>
        <w:t>Playbook</w:t>
      </w:r>
    </w:p>
    <w:p w14:paraId="7C967B5E" w14:textId="77777777" w:rsidR="00B71FA0" w:rsidRDefault="0004094B">
      <w:pPr>
        <w:spacing w:after="400"/>
      </w:pPr>
      <w:r>
        <w:rPr>
          <w:i/>
          <w:iCs/>
          <w:color w:val="6B8F72"/>
        </w:rPr>
        <w:t>For MSPs · Resellers · Distributors · GSIs · SIs · Technology Alliances &amp; Marketplaces</w:t>
      </w:r>
    </w:p>
    <w:p w14:paraId="3407BE4F" w14:textId="61DB125A" w:rsidR="00B71FA0" w:rsidRDefault="0004094B">
      <w:pPr>
        <w:spacing w:after="480"/>
      </w:pPr>
      <w:r>
        <w:rPr>
          <w:sz w:val="24"/>
          <w:szCs w:val="24"/>
        </w:rPr>
        <w:t>A repeatable system for growing revenue inside your existing partner-attached customer base, covering upsell motions, renewal engagement, at-risk customer identification, and partner-led customer success.</w:t>
      </w:r>
    </w:p>
    <w:p w14:paraId="281CAB9A" w14:textId="77777777" w:rsidR="00B71FA0" w:rsidRDefault="00B71FA0">
      <w:pPr>
        <w:pBdr>
          <w:bottom w:val="single" w:sz="10" w:space="0" w:color="46624C"/>
        </w:pBdr>
        <w:spacing w:after="480"/>
      </w:pPr>
    </w:p>
    <w:p w14:paraId="6EEFF0AF" w14:textId="77777777" w:rsidR="00B71FA0" w:rsidRDefault="0004094B">
      <w:pPr>
        <w:spacing w:after="160"/>
      </w:pPr>
      <w:r>
        <w:rPr>
          <w:rFonts w:ascii="Bebas Neue" w:eastAsia="Bebas Neue" w:hAnsi="Bebas Neue" w:cs="Bebas Neue"/>
          <w:color w:val="46624C"/>
          <w:sz w:val="28"/>
          <w:szCs w:val="28"/>
        </w:rPr>
        <w:t>HOW TO USE THIS PLAYBOOK</w:t>
      </w:r>
    </w:p>
    <w:p w14:paraId="05F15D31" w14:textId="5C8DD042" w:rsidR="00B71FA0" w:rsidRDefault="0004094B">
      <w:pPr>
        <w:spacing w:before="80" w:after="120"/>
      </w:pPr>
      <w:r>
        <w:t>This document is structured as an operational reference guide, not a presentation. Each section builds on the last, from how to map the customer lifecycle for expansion, to how to identify signals, run structured sales motions, score account health, and report outcomes to leadership.</w:t>
      </w:r>
    </w:p>
    <w:p w14:paraId="1790DEC5" w14:textId="6278E4AC" w:rsidR="00B71FA0" w:rsidRDefault="0004094B">
      <w:pPr>
        <w:spacing w:before="80" w:after="120"/>
      </w:pPr>
      <w:r>
        <w:t>Work through the sections sequentially to build your expansion program or jump to specific sections as needed. Tables and frameworks are designed to be adapted directly for use in your program.</w:t>
      </w:r>
    </w:p>
    <w:p w14:paraId="2BBEE75C" w14:textId="77777777" w:rsidR="00B71FA0" w:rsidRDefault="0004094B">
      <w:r>
        <w:br w:type="page"/>
      </w:r>
    </w:p>
    <w:p w14:paraId="55BE8C50" w14:textId="77777777" w:rsidR="00B71FA0" w:rsidRDefault="0004094B">
      <w:pPr>
        <w:pStyle w:val="Heading1"/>
        <w:pBdr>
          <w:bottom w:val="single" w:sz="8" w:space="4" w:color="46624C"/>
        </w:pBdr>
      </w:pPr>
      <w:r>
        <w:lastRenderedPageBreak/>
        <w:t>01 | Customer Lifecycle Expansion Model</w:t>
      </w:r>
    </w:p>
    <w:p w14:paraId="0A19B561" w14:textId="61C9FE31" w:rsidR="00B71FA0" w:rsidRDefault="0004094B">
      <w:pPr>
        <w:spacing w:before="80" w:after="120"/>
      </w:pPr>
      <w:r>
        <w:t>Expansion opportunities are not evenly distributed across the customer lifecycle. Partners who wait for renewal to introduce upsell conversations are operating at a significant disadvantage, by that point, budget is already committed and decision-making is defensive rather than aspirational.</w:t>
      </w:r>
    </w:p>
    <w:p w14:paraId="174FF553" w14:textId="77777777" w:rsidR="00B71FA0" w:rsidRDefault="0004094B">
      <w:pPr>
        <w:spacing w:before="80" w:after="120"/>
      </w:pPr>
      <w:r>
        <w:t>The lifecycle below maps the three phases where expansion conversations are most natural and productive, with the partner actions and readiness signals that apply at each stage.</w:t>
      </w:r>
    </w:p>
    <w:p w14:paraId="718335A2" w14:textId="77777777" w:rsidR="00B71FA0" w:rsidRDefault="00B71FA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0"/>
        <w:gridCol w:w="2500"/>
        <w:gridCol w:w="2500"/>
        <w:gridCol w:w="2400"/>
      </w:tblGrid>
      <w:tr w:rsidR="00B71FA0" w14:paraId="3F12BE05" w14:textId="77777777">
        <w:trPr>
          <w:tblHeader/>
        </w:trPr>
        <w:tc>
          <w:tcPr>
            <w:tcW w:w="19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51AD88CD" w14:textId="77777777" w:rsidR="00B71FA0" w:rsidRDefault="0004094B">
            <w:r>
              <w:rPr>
                <w:b/>
                <w:bCs/>
                <w:color w:val="FFFFFF"/>
                <w:sz w:val="20"/>
                <w:szCs w:val="20"/>
              </w:rPr>
              <w:t>Phase</w:t>
            </w:r>
          </w:p>
        </w:tc>
        <w:tc>
          <w:tcPr>
            <w:tcW w:w="25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0966118B" w14:textId="77777777" w:rsidR="00B71FA0" w:rsidRDefault="0004094B">
            <w:r>
              <w:rPr>
                <w:b/>
                <w:bCs/>
                <w:color w:val="FFFFFF"/>
                <w:sz w:val="20"/>
                <w:szCs w:val="20"/>
              </w:rPr>
              <w:t>Partner Focus</w:t>
            </w:r>
          </w:p>
        </w:tc>
        <w:tc>
          <w:tcPr>
            <w:tcW w:w="25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2BBBB8A5" w14:textId="77777777" w:rsidR="00B71FA0" w:rsidRDefault="0004094B">
            <w:r>
              <w:rPr>
                <w:b/>
                <w:bCs/>
                <w:color w:val="FFFFFF"/>
                <w:sz w:val="20"/>
                <w:szCs w:val="20"/>
              </w:rPr>
              <w:t>Partner Actions</w:t>
            </w:r>
          </w:p>
        </w:tc>
        <w:tc>
          <w:tcPr>
            <w:tcW w:w="24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5BA75FCA" w14:textId="77777777" w:rsidR="00B71FA0" w:rsidRDefault="0004094B">
            <w:r>
              <w:rPr>
                <w:b/>
                <w:bCs/>
                <w:color w:val="FFFFFF"/>
                <w:sz w:val="20"/>
                <w:szCs w:val="20"/>
              </w:rPr>
              <w:t>Expansion Signals</w:t>
            </w:r>
          </w:p>
        </w:tc>
      </w:tr>
      <w:tr w:rsidR="00B71FA0" w14:paraId="18AEF611" w14:textId="77777777">
        <w:tc>
          <w:tcPr>
            <w:tcW w:w="19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D10A666" w14:textId="77777777" w:rsidR="00B71FA0" w:rsidRDefault="0004094B">
            <w:r>
              <w:rPr>
                <w:b/>
                <w:bCs/>
                <w:color w:val="2B3D2F"/>
                <w:sz w:val="20"/>
                <w:szCs w:val="20"/>
              </w:rPr>
              <w:t>Onboarding (0–90 days)</w:t>
            </w:r>
          </w:p>
        </w:tc>
        <w:tc>
          <w:tcPr>
            <w:tcW w:w="25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2CC7611" w14:textId="77777777" w:rsidR="00B71FA0" w:rsidRDefault="0004094B">
            <w:r>
              <w:rPr>
                <w:sz w:val="20"/>
                <w:szCs w:val="20"/>
              </w:rPr>
              <w:t>Adoption &amp; early value realization</w:t>
            </w:r>
          </w:p>
        </w:tc>
        <w:tc>
          <w:tcPr>
            <w:tcW w:w="25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8DA29F1" w14:textId="77777777" w:rsidR="00B71FA0" w:rsidRDefault="0004094B">
            <w:r>
              <w:rPr>
                <w:sz w:val="20"/>
                <w:szCs w:val="20"/>
              </w:rPr>
              <w:t>Onboarding workshops · use-case validation · identify adjacent teams · build shared success plan</w:t>
            </w:r>
          </w:p>
        </w:tc>
        <w:tc>
          <w:tcPr>
            <w:tcW w:w="24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487CC21" w14:textId="77777777" w:rsidR="00B71FA0" w:rsidRDefault="0004094B">
            <w:r>
              <w:rPr>
                <w:sz w:val="20"/>
                <w:szCs w:val="20"/>
              </w:rPr>
              <w:t>Rapid user growth · feature adoption beyond scope · integration requests · new stakeholders introduced</w:t>
            </w:r>
          </w:p>
        </w:tc>
      </w:tr>
      <w:tr w:rsidR="00B71FA0" w14:paraId="5226C3DD" w14:textId="77777777">
        <w:tc>
          <w:tcPr>
            <w:tcW w:w="19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B22A932" w14:textId="77777777" w:rsidR="00B71FA0" w:rsidRDefault="0004094B">
            <w:r>
              <w:rPr>
                <w:b/>
                <w:bCs/>
                <w:color w:val="2B3D2F"/>
                <w:sz w:val="20"/>
                <w:szCs w:val="20"/>
              </w:rPr>
              <w:t>Adoption (3–9 months)</w:t>
            </w:r>
          </w:p>
        </w:tc>
        <w:tc>
          <w:tcPr>
            <w:tcW w:w="25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BC18D6C" w14:textId="77777777" w:rsidR="00B71FA0" w:rsidRDefault="0004094B">
            <w:r>
              <w:rPr>
                <w:sz w:val="20"/>
                <w:szCs w:val="20"/>
              </w:rPr>
              <w:t>Deepen usage, introduce higher-tier capabilities</w:t>
            </w:r>
          </w:p>
        </w:tc>
        <w:tc>
          <w:tcPr>
            <w:tcW w:w="25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B5B5328" w14:textId="77777777" w:rsidR="00B71FA0" w:rsidRDefault="0004094B">
            <w:r>
              <w:rPr>
                <w:sz w:val="20"/>
                <w:szCs w:val="20"/>
              </w:rPr>
              <w:t>QBRs tied to outcomes · feature education · advanced training · formal success planning</w:t>
            </w:r>
          </w:p>
        </w:tc>
        <w:tc>
          <w:tcPr>
            <w:tcW w:w="24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9920716" w14:textId="77777777" w:rsidR="00B71FA0" w:rsidRDefault="0004094B">
            <w:r>
              <w:rPr>
                <w:sz w:val="20"/>
                <w:szCs w:val="20"/>
              </w:rPr>
              <w:t>Utilization above 70–80% · new business initiatives at customer · documented ROI · operational dependency</w:t>
            </w:r>
          </w:p>
        </w:tc>
      </w:tr>
      <w:tr w:rsidR="00B71FA0" w14:paraId="7046786E" w14:textId="77777777">
        <w:tc>
          <w:tcPr>
            <w:tcW w:w="19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434CC34" w14:textId="77777777" w:rsidR="00B71FA0" w:rsidRDefault="0004094B">
            <w:r>
              <w:rPr>
                <w:b/>
                <w:bCs/>
                <w:color w:val="2B3D2F"/>
                <w:sz w:val="20"/>
                <w:szCs w:val="20"/>
              </w:rPr>
              <w:t>Renewal &amp; Expansion (9–12 months)</w:t>
            </w:r>
          </w:p>
        </w:tc>
        <w:tc>
          <w:tcPr>
            <w:tcW w:w="25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88AB557" w14:textId="77777777" w:rsidR="00B71FA0" w:rsidRDefault="0004094B">
            <w:r>
              <w:rPr>
                <w:sz w:val="20"/>
                <w:szCs w:val="20"/>
              </w:rPr>
              <w:t>Convert realized value into contract expansion</w:t>
            </w:r>
          </w:p>
        </w:tc>
        <w:tc>
          <w:tcPr>
            <w:tcW w:w="25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C5BAB44" w14:textId="77777777" w:rsidR="00B71FA0" w:rsidRDefault="0004094B">
            <w:r>
              <w:rPr>
                <w:sz w:val="20"/>
                <w:szCs w:val="20"/>
              </w:rPr>
              <w:t>Renewal planning at 120–180 days · executive value summary · cross-sell introduction · roadmap alignment</w:t>
            </w:r>
          </w:p>
        </w:tc>
        <w:tc>
          <w:tcPr>
            <w:tcW w:w="24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3C60F51" w14:textId="77777777" w:rsidR="00B71FA0" w:rsidRDefault="0004094B">
            <w:r>
              <w:rPr>
                <w:sz w:val="20"/>
                <w:szCs w:val="20"/>
              </w:rPr>
              <w:t>Renewal approaching without formal plan · org growth · new compliance requirements · platform consolidation</w:t>
            </w:r>
          </w:p>
        </w:tc>
      </w:tr>
    </w:tbl>
    <w:p w14:paraId="5A870447" w14:textId="77777777" w:rsidR="00B71FA0" w:rsidRDefault="00B71FA0">
      <w:pPr>
        <w:spacing w:after="200"/>
      </w:pPr>
    </w:p>
    <w:p w14:paraId="08BBFC6D" w14:textId="77777777" w:rsidR="00B71FA0" w:rsidRDefault="0004094B">
      <w:pPr>
        <w:pBdr>
          <w:left w:val="single" w:sz="12" w:space="10" w:color="46624C"/>
        </w:pBdr>
        <w:spacing w:before="160" w:after="200"/>
        <w:ind w:left="480"/>
      </w:pPr>
      <w:r>
        <w:rPr>
          <w:i/>
          <w:iCs/>
          <w:color w:val="46624C"/>
        </w:rPr>
        <w:t>Partners who treat expansion as a renewal conversation start 6–9 months too late. The most effective expansion motions begin at onboarding, not at contract review.</w:t>
      </w:r>
    </w:p>
    <w:p w14:paraId="2ECF92E7" w14:textId="77777777" w:rsidR="00B71FA0" w:rsidRDefault="00B71FA0">
      <w:pPr>
        <w:pBdr>
          <w:bottom w:val="single" w:sz="4" w:space="1" w:color="D0D8D2"/>
        </w:pBdr>
        <w:spacing w:before="120" w:after="360"/>
      </w:pPr>
    </w:p>
    <w:p w14:paraId="6C436F52" w14:textId="77777777" w:rsidR="00B71FA0" w:rsidRDefault="0004094B">
      <w:pPr>
        <w:pStyle w:val="Heading1"/>
        <w:pBdr>
          <w:bottom w:val="single" w:sz="8" w:space="4" w:color="46624C"/>
        </w:pBdr>
      </w:pPr>
      <w:r>
        <w:t>02 | Expansion Opportunity Signals</w:t>
      </w:r>
    </w:p>
    <w:p w14:paraId="7212A0F6" w14:textId="5E9CD52F" w:rsidR="00B71FA0" w:rsidRDefault="0004094B">
      <w:pPr>
        <w:spacing w:before="80" w:after="120"/>
      </w:pPr>
      <w:r>
        <w:t>Partners need a clear and practical signal framework, not just a generic instruction to look for upsell opportunities. Expansion signals fall into three categories. The strongest expansion opportunities appear when signals from multiple categories align simultaneously.</w:t>
      </w:r>
    </w:p>
    <w:p w14:paraId="4FB5E717" w14:textId="77777777" w:rsidR="00B71FA0" w:rsidRDefault="0004094B">
      <w:pPr>
        <w:pStyle w:val="Heading2"/>
      </w:pPr>
      <w:r>
        <w:lastRenderedPageBreak/>
        <w:t>Product Usage Signals</w:t>
      </w:r>
    </w:p>
    <w:p w14:paraId="106F4296" w14:textId="77777777" w:rsidR="00B71FA0" w:rsidRDefault="0004094B">
      <w:pPr>
        <w:spacing w:before="80" w:after="120"/>
      </w:pPr>
      <w:r>
        <w:t>The most reliable predictors of upsell readiness. High utilization indicates value realization and creates a natural justification for capacity or capability expansion.</w:t>
      </w:r>
    </w:p>
    <w:p w14:paraId="175A372E" w14:textId="77777777" w:rsidR="00B71FA0" w:rsidRDefault="0004094B">
      <w:pPr>
        <w:pStyle w:val="ListParagraph"/>
        <w:numPr>
          <w:ilvl w:val="0"/>
          <w:numId w:val="2"/>
        </w:numPr>
        <w:spacing w:after="80"/>
      </w:pPr>
      <w:r>
        <w:t>License utilization above 75–80% of total purchased seats or capacity</w:t>
      </w:r>
    </w:p>
    <w:p w14:paraId="7B03AC82" w14:textId="77777777" w:rsidR="00B71FA0" w:rsidRDefault="0004094B">
      <w:pPr>
        <w:pStyle w:val="ListParagraph"/>
        <w:numPr>
          <w:ilvl w:val="0"/>
          <w:numId w:val="2"/>
        </w:numPr>
        <w:spacing w:after="80"/>
      </w:pPr>
      <w:r>
        <w:t>Active user count approaching or exceeding purchased user count</w:t>
      </w:r>
    </w:p>
    <w:p w14:paraId="56FDFE65" w14:textId="77777777" w:rsidR="00B71FA0" w:rsidRDefault="0004094B">
      <w:pPr>
        <w:pStyle w:val="ListParagraph"/>
        <w:numPr>
          <w:ilvl w:val="0"/>
          <w:numId w:val="2"/>
        </w:numPr>
        <w:spacing w:after="80"/>
      </w:pPr>
      <w:r>
        <w:t>Significant adoption of advanced or premium features</w:t>
      </w:r>
    </w:p>
    <w:p w14:paraId="69155C9A" w14:textId="77777777" w:rsidR="00B71FA0" w:rsidRDefault="0004094B">
      <w:pPr>
        <w:pStyle w:val="ListParagraph"/>
        <w:numPr>
          <w:ilvl w:val="0"/>
          <w:numId w:val="2"/>
        </w:numPr>
        <w:spacing w:after="80"/>
      </w:pPr>
      <w:r>
        <w:t>API or integration usage indicating the product has become workflow-critical</w:t>
      </w:r>
    </w:p>
    <w:p w14:paraId="738E8012" w14:textId="77777777" w:rsidR="00B71FA0" w:rsidRDefault="0004094B">
      <w:pPr>
        <w:pStyle w:val="ListParagraph"/>
        <w:numPr>
          <w:ilvl w:val="0"/>
          <w:numId w:val="2"/>
        </w:numPr>
        <w:spacing w:after="80"/>
      </w:pPr>
      <w:r>
        <w:t>Storage, data volume, or consumption metrics trending upward</w:t>
      </w:r>
    </w:p>
    <w:p w14:paraId="3CD4239B" w14:textId="77777777" w:rsidR="00B71FA0" w:rsidRDefault="0004094B">
      <w:pPr>
        <w:pStyle w:val="ListParagraph"/>
        <w:numPr>
          <w:ilvl w:val="0"/>
          <w:numId w:val="2"/>
        </w:numPr>
        <w:spacing w:after="80"/>
      </w:pPr>
      <w:r>
        <w:t>Product usage expanding organically across multiple departments or teams</w:t>
      </w:r>
    </w:p>
    <w:p w14:paraId="501BFC02" w14:textId="77777777" w:rsidR="00B71FA0" w:rsidRDefault="0004094B">
      <w:pPr>
        <w:pStyle w:val="Heading2"/>
      </w:pPr>
      <w:r>
        <w:t>Customer Success Signals</w:t>
      </w:r>
    </w:p>
    <w:p w14:paraId="5C9FCA3E" w14:textId="77777777" w:rsidR="00B71FA0" w:rsidRDefault="0004094B">
      <w:pPr>
        <w:spacing w:before="80" w:after="120"/>
      </w:pPr>
      <w:r>
        <w:t>Healthy, well-engaged customers expand more easily. These signals indicate both retention risk level and readiness for an expansion conversation.</w:t>
      </w:r>
    </w:p>
    <w:p w14:paraId="791E8D7A" w14:textId="77777777" w:rsidR="00B71FA0" w:rsidRDefault="0004094B">
      <w:pPr>
        <w:pStyle w:val="ListParagraph"/>
        <w:numPr>
          <w:ilvl w:val="0"/>
          <w:numId w:val="2"/>
        </w:numPr>
        <w:spacing w:after="80"/>
      </w:pPr>
      <w:r>
        <w:t>High NPS or CSAT with documented satisfaction</w:t>
      </w:r>
    </w:p>
    <w:p w14:paraId="2426832C" w14:textId="77777777" w:rsidR="00B71FA0" w:rsidRDefault="0004094B">
      <w:pPr>
        <w:pStyle w:val="ListParagraph"/>
        <w:numPr>
          <w:ilvl w:val="0"/>
          <w:numId w:val="2"/>
        </w:numPr>
        <w:spacing w:after="80"/>
      </w:pPr>
      <w:r>
        <w:t>Decreasing support ticket volume or resolution of longstanding issues</w:t>
      </w:r>
    </w:p>
    <w:p w14:paraId="74830094" w14:textId="77777777" w:rsidR="00B71FA0" w:rsidRDefault="0004094B">
      <w:pPr>
        <w:pStyle w:val="ListParagraph"/>
        <w:numPr>
          <w:ilvl w:val="0"/>
          <w:numId w:val="2"/>
        </w:numPr>
        <w:spacing w:after="80"/>
      </w:pPr>
      <w:r>
        <w:t>Active executive sponsorship above the day-to-day admin level</w:t>
      </w:r>
    </w:p>
    <w:p w14:paraId="60BA268C" w14:textId="77777777" w:rsidR="00B71FA0" w:rsidRDefault="0004094B">
      <w:pPr>
        <w:pStyle w:val="ListParagraph"/>
        <w:numPr>
          <w:ilvl w:val="0"/>
          <w:numId w:val="2"/>
        </w:numPr>
        <w:spacing w:after="80"/>
      </w:pPr>
      <w:r>
        <w:t>Completion of all onboarding milestones and success plan checkpoints</w:t>
      </w:r>
    </w:p>
    <w:p w14:paraId="6065C191" w14:textId="77777777" w:rsidR="00B71FA0" w:rsidRDefault="0004094B">
      <w:pPr>
        <w:pStyle w:val="ListParagraph"/>
        <w:numPr>
          <w:ilvl w:val="0"/>
          <w:numId w:val="2"/>
        </w:numPr>
        <w:spacing w:after="80"/>
      </w:pPr>
      <w:r>
        <w:t>Documented ROI or measurable business outcomes achieved</w:t>
      </w:r>
    </w:p>
    <w:p w14:paraId="6A9EDD5E" w14:textId="77777777" w:rsidR="00B71FA0" w:rsidRDefault="0004094B">
      <w:pPr>
        <w:pStyle w:val="Heading2"/>
      </w:pPr>
      <w:r>
        <w:t>Business &amp; Organizational Signals</w:t>
      </w:r>
    </w:p>
    <w:p w14:paraId="6B9F54A2" w14:textId="640A1D76" w:rsidR="00B71FA0" w:rsidRDefault="0004094B">
      <w:pPr>
        <w:spacing w:before="80" w:after="120"/>
      </w:pPr>
      <w:r>
        <w:t>External events at the customer organization often create the most compelling expansion opportunities. Partners who monitor business context, not just product data, identify opportunities others miss.</w:t>
      </w:r>
    </w:p>
    <w:p w14:paraId="5A7EC3DC" w14:textId="77777777" w:rsidR="00B71FA0" w:rsidRDefault="0004094B">
      <w:pPr>
        <w:pStyle w:val="ListParagraph"/>
        <w:numPr>
          <w:ilvl w:val="0"/>
          <w:numId w:val="2"/>
        </w:numPr>
        <w:spacing w:after="80"/>
      </w:pPr>
      <w:r>
        <w:t>Company headcount growth or aggressive hiring in departments using the product</w:t>
      </w:r>
    </w:p>
    <w:p w14:paraId="4C2CB63F" w14:textId="77777777" w:rsidR="00B71FA0" w:rsidRDefault="0004094B">
      <w:pPr>
        <w:pStyle w:val="ListParagraph"/>
        <w:numPr>
          <w:ilvl w:val="0"/>
          <w:numId w:val="2"/>
        </w:numPr>
        <w:spacing w:after="80"/>
      </w:pPr>
      <w:r>
        <w:t>Mergers, acquisitions, or organizational restructuring</w:t>
      </w:r>
    </w:p>
    <w:p w14:paraId="6A587B3B" w14:textId="77777777" w:rsidR="00B71FA0" w:rsidRDefault="0004094B">
      <w:pPr>
        <w:pStyle w:val="ListParagraph"/>
        <w:numPr>
          <w:ilvl w:val="0"/>
          <w:numId w:val="2"/>
        </w:numPr>
        <w:spacing w:after="80"/>
      </w:pPr>
      <w:r>
        <w:t>New compliance mandates or regulatory requirements</w:t>
      </w:r>
    </w:p>
    <w:p w14:paraId="5F7C794C" w14:textId="77777777" w:rsidR="00B71FA0" w:rsidRDefault="0004094B">
      <w:pPr>
        <w:pStyle w:val="ListParagraph"/>
        <w:numPr>
          <w:ilvl w:val="0"/>
          <w:numId w:val="2"/>
        </w:numPr>
        <w:spacing w:after="80"/>
      </w:pPr>
      <w:r>
        <w:t>New product launches or customer-side go-to-market initiatives</w:t>
      </w:r>
    </w:p>
    <w:p w14:paraId="454643E8" w14:textId="77777777" w:rsidR="00B71FA0" w:rsidRDefault="0004094B">
      <w:pPr>
        <w:pStyle w:val="ListParagraph"/>
        <w:numPr>
          <w:ilvl w:val="0"/>
          <w:numId w:val="2"/>
        </w:numPr>
        <w:spacing w:after="80"/>
      </w:pPr>
      <w:r>
        <w:t>IT or security modernization programs</w:t>
      </w:r>
    </w:p>
    <w:p w14:paraId="33A7F951" w14:textId="77777777" w:rsidR="00B71FA0" w:rsidRDefault="0004094B">
      <w:pPr>
        <w:pStyle w:val="ListParagraph"/>
        <w:numPr>
          <w:ilvl w:val="0"/>
          <w:numId w:val="2"/>
        </w:numPr>
        <w:spacing w:after="80"/>
      </w:pPr>
      <w:r>
        <w:t>Geographic expansion into new regions or markets</w:t>
      </w:r>
    </w:p>
    <w:p w14:paraId="4E1470B1" w14:textId="77777777" w:rsidR="00B71FA0" w:rsidRDefault="0004094B">
      <w:pPr>
        <w:pBdr>
          <w:left w:val="single" w:sz="12" w:space="10" w:color="46624C"/>
        </w:pBdr>
        <w:spacing w:before="160" w:after="200"/>
        <w:ind w:left="480"/>
      </w:pPr>
      <w:r>
        <w:rPr>
          <w:i/>
          <w:iCs/>
          <w:color w:val="46624C"/>
        </w:rPr>
        <w:t>The best partner expansion motions combine inside-out signals (product data) with outside-in signals (business context). Neither alone gives the full picture.</w:t>
      </w:r>
    </w:p>
    <w:p w14:paraId="01340F18" w14:textId="77777777" w:rsidR="00B71FA0" w:rsidRDefault="00B71FA0">
      <w:pPr>
        <w:pBdr>
          <w:bottom w:val="single" w:sz="4" w:space="1" w:color="D0D8D2"/>
        </w:pBdr>
        <w:spacing w:before="120" w:after="360"/>
      </w:pPr>
    </w:p>
    <w:p w14:paraId="4533C88F" w14:textId="77777777" w:rsidR="00B71FA0" w:rsidRDefault="0004094B">
      <w:r>
        <w:br w:type="page"/>
      </w:r>
    </w:p>
    <w:p w14:paraId="6EA202AB" w14:textId="77777777" w:rsidR="00B71FA0" w:rsidRDefault="0004094B">
      <w:pPr>
        <w:pStyle w:val="Heading1"/>
        <w:pBdr>
          <w:bottom w:val="single" w:sz="8" w:space="4" w:color="46624C"/>
        </w:pBdr>
      </w:pPr>
      <w:r>
        <w:lastRenderedPageBreak/>
        <w:t>03 | Partner Expansion Sales Motions</w:t>
      </w:r>
    </w:p>
    <w:p w14:paraId="584D54ED" w14:textId="5F4FA0F5" w:rsidR="00B71FA0" w:rsidRDefault="0004094B">
      <w:pPr>
        <w:spacing w:before="80" w:after="120"/>
      </w:pPr>
      <w:r>
        <w:t>Signals alone do not create expansion revenue. Partners need structured, repeatable motions, not just awareness that an opportunity exists. This section provides two core operating frameworks.</w:t>
      </w:r>
    </w:p>
    <w:p w14:paraId="29BFFD36" w14:textId="77777777" w:rsidR="00B71FA0" w:rsidRDefault="0004094B">
      <w:pPr>
        <w:pStyle w:val="Heading2"/>
      </w:pPr>
      <w:r>
        <w:t>QBR and Value Review Framework</w:t>
      </w:r>
    </w:p>
    <w:p w14:paraId="4561D6C9" w14:textId="77777777" w:rsidR="00B71FA0" w:rsidRDefault="0004094B">
      <w:pPr>
        <w:spacing w:before="80" w:after="120"/>
      </w:pPr>
      <w:r>
        <w:t>The quarterly business review is the most underutilized expansion tool in the partner ecosystem. Most partners treat QBRs as backward-looking reporting sessions. High-performing partners use them as forward-looking expansion conversations.</w:t>
      </w:r>
    </w:p>
    <w:p w14:paraId="5579B283" w14:textId="77777777" w:rsidR="00B71FA0" w:rsidRDefault="00B71FA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640"/>
        <w:gridCol w:w="5000"/>
      </w:tblGrid>
      <w:tr w:rsidR="00B71FA0" w14:paraId="4A5450E8" w14:textId="77777777">
        <w:trPr>
          <w:tblHeader/>
        </w:trPr>
        <w:tc>
          <w:tcPr>
            <w:tcW w:w="72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38C22F18" w14:textId="77777777" w:rsidR="00B71FA0" w:rsidRDefault="0004094B">
            <w:r>
              <w:rPr>
                <w:b/>
                <w:bCs/>
                <w:color w:val="FFFFFF"/>
                <w:sz w:val="20"/>
                <w:szCs w:val="20"/>
              </w:rPr>
              <w:t>#</w:t>
            </w:r>
          </w:p>
        </w:tc>
        <w:tc>
          <w:tcPr>
            <w:tcW w:w="364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0C958DF4" w14:textId="77777777" w:rsidR="00B71FA0" w:rsidRDefault="0004094B">
            <w:r>
              <w:rPr>
                <w:b/>
                <w:bCs/>
                <w:color w:val="FFFFFF"/>
                <w:sz w:val="20"/>
                <w:szCs w:val="20"/>
              </w:rPr>
              <w:t>QBR Agenda Item</w:t>
            </w:r>
          </w:p>
        </w:tc>
        <w:tc>
          <w:tcPr>
            <w:tcW w:w="50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0738223" w14:textId="77777777" w:rsidR="00B71FA0" w:rsidRDefault="0004094B">
            <w:r>
              <w:rPr>
                <w:b/>
                <w:bCs/>
                <w:color w:val="FFFFFF"/>
                <w:sz w:val="20"/>
                <w:szCs w:val="20"/>
              </w:rPr>
              <w:t>Purpose</w:t>
            </w:r>
          </w:p>
        </w:tc>
      </w:tr>
      <w:tr w:rsidR="00B71FA0" w14:paraId="13505483" w14:textId="77777777">
        <w:tc>
          <w:tcPr>
            <w:tcW w:w="7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FB0A61B" w14:textId="77777777" w:rsidR="00B71FA0" w:rsidRDefault="0004094B">
            <w:r>
              <w:rPr>
                <w:b/>
                <w:bCs/>
                <w:color w:val="2B3D2F"/>
                <w:sz w:val="20"/>
                <w:szCs w:val="20"/>
              </w:rPr>
              <w:t>1</w:t>
            </w:r>
          </w:p>
        </w:tc>
        <w:tc>
          <w:tcPr>
            <w:tcW w:w="364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6E11AC5" w14:textId="77777777" w:rsidR="00B71FA0" w:rsidRDefault="0004094B">
            <w:r>
              <w:rPr>
                <w:sz w:val="20"/>
                <w:szCs w:val="20"/>
              </w:rPr>
              <w:t>Business outcomes achieved</w:t>
            </w:r>
          </w:p>
        </w:tc>
        <w:tc>
          <w:tcPr>
            <w:tcW w:w="5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4CCE3EA" w14:textId="71F35006" w:rsidR="00B71FA0" w:rsidRDefault="0004094B">
            <w:r>
              <w:rPr>
                <w:sz w:val="20"/>
                <w:szCs w:val="20"/>
              </w:rPr>
              <w:t>Anchor the conversation in realized value, tied to the original business case, not just product metrics</w:t>
            </w:r>
          </w:p>
        </w:tc>
      </w:tr>
      <w:tr w:rsidR="00B71FA0" w14:paraId="201CC02E" w14:textId="77777777">
        <w:tc>
          <w:tcPr>
            <w:tcW w:w="7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BC6EA87" w14:textId="77777777" w:rsidR="00B71FA0" w:rsidRDefault="0004094B">
            <w:r>
              <w:rPr>
                <w:b/>
                <w:bCs/>
                <w:color w:val="2B3D2F"/>
                <w:sz w:val="20"/>
                <w:szCs w:val="20"/>
              </w:rPr>
              <w:t>2</w:t>
            </w:r>
          </w:p>
        </w:tc>
        <w:tc>
          <w:tcPr>
            <w:tcW w:w="364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691FF4B6" w14:textId="77777777" w:rsidR="00B71FA0" w:rsidRDefault="0004094B">
            <w:r>
              <w:rPr>
                <w:sz w:val="20"/>
                <w:szCs w:val="20"/>
              </w:rPr>
              <w:t>Product usage insights</w:t>
            </w:r>
          </w:p>
        </w:tc>
        <w:tc>
          <w:tcPr>
            <w:tcW w:w="50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9FBE8C0" w14:textId="4A5A3448" w:rsidR="00B71FA0" w:rsidRDefault="0004094B">
            <w:r>
              <w:rPr>
                <w:sz w:val="20"/>
                <w:szCs w:val="20"/>
              </w:rPr>
              <w:t>Show utilization trends, adoption depth, and feature engagement, the data that reveals where more value is available</w:t>
            </w:r>
          </w:p>
        </w:tc>
      </w:tr>
      <w:tr w:rsidR="00B71FA0" w14:paraId="41009DE2" w14:textId="77777777">
        <w:tc>
          <w:tcPr>
            <w:tcW w:w="7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A05618E" w14:textId="77777777" w:rsidR="00B71FA0" w:rsidRDefault="0004094B">
            <w:r>
              <w:rPr>
                <w:b/>
                <w:bCs/>
                <w:color w:val="2B3D2F"/>
                <w:sz w:val="20"/>
                <w:szCs w:val="20"/>
              </w:rPr>
              <w:t>3</w:t>
            </w:r>
          </w:p>
        </w:tc>
        <w:tc>
          <w:tcPr>
            <w:tcW w:w="364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B7C4AF2" w14:textId="77777777" w:rsidR="00B71FA0" w:rsidRDefault="0004094B">
            <w:r>
              <w:rPr>
                <w:sz w:val="20"/>
                <w:szCs w:val="20"/>
              </w:rPr>
              <w:t>Capabilities not yet in use</w:t>
            </w:r>
          </w:p>
        </w:tc>
        <w:tc>
          <w:tcPr>
            <w:tcW w:w="5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A53EEE5" w14:textId="77777777" w:rsidR="00B71FA0" w:rsidRDefault="0004094B">
            <w:r>
              <w:rPr>
                <w:sz w:val="20"/>
                <w:szCs w:val="20"/>
              </w:rPr>
              <w:t>Frame unrealized features as unrealized value, not as a product pitch</w:t>
            </w:r>
          </w:p>
        </w:tc>
      </w:tr>
      <w:tr w:rsidR="00B71FA0" w14:paraId="413EA8BB" w14:textId="77777777">
        <w:tc>
          <w:tcPr>
            <w:tcW w:w="7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FB5C702" w14:textId="77777777" w:rsidR="00B71FA0" w:rsidRDefault="0004094B">
            <w:r>
              <w:rPr>
                <w:b/>
                <w:bCs/>
                <w:color w:val="2B3D2F"/>
                <w:sz w:val="20"/>
                <w:szCs w:val="20"/>
              </w:rPr>
              <w:t>4</w:t>
            </w:r>
          </w:p>
        </w:tc>
        <w:tc>
          <w:tcPr>
            <w:tcW w:w="364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BA084C0" w14:textId="77777777" w:rsidR="00B71FA0" w:rsidRDefault="0004094B">
            <w:r>
              <w:rPr>
                <w:sz w:val="20"/>
                <w:szCs w:val="20"/>
              </w:rPr>
              <w:t>Industry benchmarks</w:t>
            </w:r>
          </w:p>
        </w:tc>
        <w:tc>
          <w:tcPr>
            <w:tcW w:w="50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811783E" w14:textId="77777777" w:rsidR="00B71FA0" w:rsidRDefault="0004094B">
            <w:r>
              <w:rPr>
                <w:sz w:val="20"/>
                <w:szCs w:val="20"/>
              </w:rPr>
              <w:t>Show how comparable companies are using the platform and what outcomes they are driving</w:t>
            </w:r>
          </w:p>
        </w:tc>
      </w:tr>
      <w:tr w:rsidR="00B71FA0" w14:paraId="4BD916F2" w14:textId="77777777">
        <w:tc>
          <w:tcPr>
            <w:tcW w:w="7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BDBEF58" w14:textId="77777777" w:rsidR="00B71FA0" w:rsidRDefault="0004094B">
            <w:r>
              <w:rPr>
                <w:b/>
                <w:bCs/>
                <w:color w:val="2B3D2F"/>
                <w:sz w:val="20"/>
                <w:szCs w:val="20"/>
              </w:rPr>
              <w:t>5</w:t>
            </w:r>
          </w:p>
        </w:tc>
        <w:tc>
          <w:tcPr>
            <w:tcW w:w="364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F79BB8A" w14:textId="77777777" w:rsidR="00B71FA0" w:rsidRDefault="0004094B">
            <w:r>
              <w:rPr>
                <w:sz w:val="20"/>
                <w:szCs w:val="20"/>
              </w:rPr>
              <w:t>Recommended expansion roadmap</w:t>
            </w:r>
          </w:p>
        </w:tc>
        <w:tc>
          <w:tcPr>
            <w:tcW w:w="5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C1C7C4A" w14:textId="77777777" w:rsidR="00B71FA0" w:rsidRDefault="0004094B">
            <w:r>
              <w:rPr>
                <w:sz w:val="20"/>
                <w:szCs w:val="20"/>
              </w:rPr>
              <w:t>Specific, outcome-tied recommendations for the next 6–12 months</w:t>
            </w:r>
          </w:p>
        </w:tc>
      </w:tr>
    </w:tbl>
    <w:p w14:paraId="051354DD" w14:textId="77777777" w:rsidR="00B71FA0" w:rsidRDefault="0004094B">
      <w:pPr>
        <w:pStyle w:val="Heading2"/>
      </w:pPr>
      <w:r>
        <w:t>The Five-Step Expansion Play</w:t>
      </w:r>
    </w:p>
    <w:p w14:paraId="51AB5A2E" w14:textId="77777777" w:rsidR="00B71FA0" w:rsidRDefault="0004094B">
      <w:pPr>
        <w:spacing w:before="80" w:after="120"/>
      </w:pPr>
      <w:r>
        <w:t>A repeatable partner process for converting expansion signals into closed deals:</w:t>
      </w:r>
    </w:p>
    <w:p w14:paraId="35AF83E2" w14:textId="77777777" w:rsidR="00B71FA0" w:rsidRDefault="00B71FA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4"/>
        <w:gridCol w:w="2990"/>
        <w:gridCol w:w="5616"/>
      </w:tblGrid>
      <w:tr w:rsidR="00B71FA0" w14:paraId="4910FA03" w14:textId="77777777">
        <w:trPr>
          <w:tblHeader/>
        </w:trPr>
        <w:tc>
          <w:tcPr>
            <w:tcW w:w="72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29634188" w14:textId="77777777" w:rsidR="00B71FA0" w:rsidRDefault="0004094B">
            <w:r>
              <w:rPr>
                <w:b/>
                <w:bCs/>
                <w:color w:val="FFFFFF"/>
                <w:sz w:val="20"/>
                <w:szCs w:val="20"/>
              </w:rPr>
              <w:t>Step</w:t>
            </w:r>
          </w:p>
        </w:tc>
        <w:tc>
          <w:tcPr>
            <w:tcW w:w="30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5FD5BC5F" w14:textId="77777777" w:rsidR="00B71FA0" w:rsidRDefault="0004094B">
            <w:r>
              <w:rPr>
                <w:b/>
                <w:bCs/>
                <w:color w:val="FFFFFF"/>
                <w:sz w:val="20"/>
                <w:szCs w:val="20"/>
              </w:rPr>
              <w:t>Action</w:t>
            </w:r>
          </w:p>
        </w:tc>
        <w:tc>
          <w:tcPr>
            <w:tcW w:w="564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25A86AAB" w14:textId="77777777" w:rsidR="00B71FA0" w:rsidRDefault="0004094B">
            <w:r>
              <w:rPr>
                <w:b/>
                <w:bCs/>
                <w:color w:val="FFFFFF"/>
                <w:sz w:val="20"/>
                <w:szCs w:val="20"/>
              </w:rPr>
              <w:t>Detail</w:t>
            </w:r>
          </w:p>
        </w:tc>
      </w:tr>
      <w:tr w:rsidR="00B71FA0" w14:paraId="79FC1CF0" w14:textId="77777777">
        <w:tc>
          <w:tcPr>
            <w:tcW w:w="7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B542167" w14:textId="77777777" w:rsidR="00B71FA0" w:rsidRDefault="0004094B">
            <w:r>
              <w:rPr>
                <w:b/>
                <w:bCs/>
                <w:color w:val="2B3D2F"/>
                <w:sz w:val="20"/>
                <w:szCs w:val="20"/>
              </w:rPr>
              <w:t>1</w:t>
            </w:r>
          </w:p>
        </w:tc>
        <w:tc>
          <w:tcPr>
            <w:tcW w:w="3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5923DDD" w14:textId="77777777" w:rsidR="00B71FA0" w:rsidRDefault="0004094B">
            <w:r>
              <w:rPr>
                <w:sz w:val="20"/>
                <w:szCs w:val="20"/>
              </w:rPr>
              <w:t>Identify the signal</w:t>
            </w:r>
          </w:p>
        </w:tc>
        <w:tc>
          <w:tcPr>
            <w:tcW w:w="564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65C3222" w14:textId="77777777" w:rsidR="00B71FA0" w:rsidRDefault="0004094B">
            <w:r>
              <w:rPr>
                <w:sz w:val="20"/>
                <w:szCs w:val="20"/>
              </w:rPr>
              <w:t>Product usage threshold crossed, business trigger observed, or organizational change confirmed</w:t>
            </w:r>
          </w:p>
        </w:tc>
      </w:tr>
      <w:tr w:rsidR="00B71FA0" w14:paraId="1F677365" w14:textId="77777777">
        <w:tc>
          <w:tcPr>
            <w:tcW w:w="7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7EF142E" w14:textId="77777777" w:rsidR="00B71FA0" w:rsidRDefault="0004094B">
            <w:r>
              <w:rPr>
                <w:b/>
                <w:bCs/>
                <w:color w:val="2B3D2F"/>
                <w:sz w:val="20"/>
                <w:szCs w:val="20"/>
              </w:rPr>
              <w:t>2</w:t>
            </w:r>
          </w:p>
        </w:tc>
        <w:tc>
          <w:tcPr>
            <w:tcW w:w="30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9E5FF42" w14:textId="77777777" w:rsidR="00B71FA0" w:rsidRDefault="0004094B">
            <w:r>
              <w:rPr>
                <w:sz w:val="20"/>
                <w:szCs w:val="20"/>
              </w:rPr>
              <w:t>Validate the business problem</w:t>
            </w:r>
          </w:p>
        </w:tc>
        <w:tc>
          <w:tcPr>
            <w:tcW w:w="564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77E3295" w14:textId="77777777" w:rsidR="00B71FA0" w:rsidRDefault="0004094B">
            <w:r>
              <w:rPr>
                <w:sz w:val="20"/>
                <w:szCs w:val="20"/>
              </w:rPr>
              <w:t>Confirm the underlying opportunity or gap with the customer before proposing anything commercial</w:t>
            </w:r>
          </w:p>
        </w:tc>
      </w:tr>
      <w:tr w:rsidR="00B71FA0" w14:paraId="0D0BD15F" w14:textId="77777777">
        <w:tc>
          <w:tcPr>
            <w:tcW w:w="7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EC2A76E" w14:textId="77777777" w:rsidR="00B71FA0" w:rsidRDefault="0004094B">
            <w:r>
              <w:rPr>
                <w:b/>
                <w:bCs/>
                <w:color w:val="2B3D2F"/>
                <w:sz w:val="20"/>
                <w:szCs w:val="20"/>
              </w:rPr>
              <w:t>3</w:t>
            </w:r>
          </w:p>
        </w:tc>
        <w:tc>
          <w:tcPr>
            <w:tcW w:w="3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C9E1A93" w14:textId="77777777" w:rsidR="00B71FA0" w:rsidRDefault="0004094B">
            <w:r>
              <w:rPr>
                <w:sz w:val="20"/>
                <w:szCs w:val="20"/>
              </w:rPr>
              <w:t>Map capability to outcome</w:t>
            </w:r>
          </w:p>
        </w:tc>
        <w:tc>
          <w:tcPr>
            <w:tcW w:w="564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86E5DA9" w14:textId="77777777" w:rsidR="00B71FA0" w:rsidRDefault="0004094B">
            <w:r>
              <w:rPr>
                <w:sz w:val="20"/>
                <w:szCs w:val="20"/>
              </w:rPr>
              <w:t>Identify the specific product, module, or license expansion that addresses the validated problem</w:t>
            </w:r>
          </w:p>
        </w:tc>
      </w:tr>
      <w:tr w:rsidR="00B71FA0" w14:paraId="5F8C9022" w14:textId="77777777">
        <w:tc>
          <w:tcPr>
            <w:tcW w:w="7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196BED1A" w14:textId="77777777" w:rsidR="00B71FA0" w:rsidRDefault="0004094B">
            <w:r>
              <w:rPr>
                <w:b/>
                <w:bCs/>
                <w:color w:val="2B3D2F"/>
                <w:sz w:val="20"/>
                <w:szCs w:val="20"/>
              </w:rPr>
              <w:lastRenderedPageBreak/>
              <w:t>4</w:t>
            </w:r>
          </w:p>
        </w:tc>
        <w:tc>
          <w:tcPr>
            <w:tcW w:w="30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C73ABC7" w14:textId="77777777" w:rsidR="00B71FA0" w:rsidRDefault="0004094B">
            <w:r>
              <w:rPr>
                <w:sz w:val="20"/>
                <w:szCs w:val="20"/>
              </w:rPr>
              <w:t>Run validation or pilot</w:t>
            </w:r>
          </w:p>
        </w:tc>
        <w:tc>
          <w:tcPr>
            <w:tcW w:w="564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C91C702" w14:textId="39603CC0" w:rsidR="00B71FA0" w:rsidRDefault="0004094B">
            <w:r>
              <w:rPr>
                <w:sz w:val="20"/>
                <w:szCs w:val="20"/>
              </w:rPr>
              <w:t>Proof of concept, pilot deployment, or architecture workshop, reduces commercial friction significantly</w:t>
            </w:r>
          </w:p>
        </w:tc>
      </w:tr>
      <w:tr w:rsidR="00B71FA0" w14:paraId="46A59BA0" w14:textId="77777777">
        <w:tc>
          <w:tcPr>
            <w:tcW w:w="7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E826496" w14:textId="77777777" w:rsidR="00B71FA0" w:rsidRDefault="0004094B">
            <w:r>
              <w:rPr>
                <w:b/>
                <w:bCs/>
                <w:color w:val="2B3D2F"/>
                <w:sz w:val="20"/>
                <w:szCs w:val="20"/>
              </w:rPr>
              <w:t>5</w:t>
            </w:r>
          </w:p>
        </w:tc>
        <w:tc>
          <w:tcPr>
            <w:tcW w:w="3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B59881C" w14:textId="77777777" w:rsidR="00B71FA0" w:rsidRDefault="0004094B">
            <w:r>
              <w:rPr>
                <w:sz w:val="20"/>
                <w:szCs w:val="20"/>
              </w:rPr>
              <w:t>Present expansion proposal</w:t>
            </w:r>
          </w:p>
        </w:tc>
        <w:tc>
          <w:tcPr>
            <w:tcW w:w="564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4C78E2A" w14:textId="77777777" w:rsidR="00B71FA0" w:rsidRDefault="0004094B">
            <w:r>
              <w:rPr>
                <w:sz w:val="20"/>
                <w:szCs w:val="20"/>
              </w:rPr>
              <w:t>Commercial proposal anchored to customer outcomes, not product features</w:t>
            </w:r>
          </w:p>
        </w:tc>
      </w:tr>
    </w:tbl>
    <w:p w14:paraId="5A503612" w14:textId="77777777" w:rsidR="00B71FA0" w:rsidRDefault="00B71FA0">
      <w:pPr>
        <w:spacing w:after="200"/>
      </w:pPr>
    </w:p>
    <w:p w14:paraId="52372E6C" w14:textId="77777777" w:rsidR="00B71FA0" w:rsidRDefault="0004094B">
      <w:pPr>
        <w:pBdr>
          <w:left w:val="single" w:sz="12" w:space="10" w:color="46624C"/>
        </w:pBdr>
        <w:spacing w:before="160" w:after="200"/>
        <w:ind w:left="480"/>
      </w:pPr>
      <w:r>
        <w:rPr>
          <w:i/>
          <w:iCs/>
          <w:color w:val="46624C"/>
        </w:rPr>
        <w:t>Partners should not skip Step 4. Customers who have completed a validation or pilot approve expansion budgets at significantly higher rates than those who have not.</w:t>
      </w:r>
    </w:p>
    <w:p w14:paraId="29FCD5EE" w14:textId="77777777" w:rsidR="00B71FA0" w:rsidRDefault="00B71FA0">
      <w:pPr>
        <w:pBdr>
          <w:bottom w:val="single" w:sz="4" w:space="1" w:color="D0D8D2"/>
        </w:pBdr>
        <w:spacing w:before="120" w:after="360"/>
      </w:pPr>
    </w:p>
    <w:p w14:paraId="63A7C621" w14:textId="77777777" w:rsidR="00B71FA0" w:rsidRDefault="0004094B">
      <w:pPr>
        <w:pStyle w:val="Heading1"/>
        <w:pBdr>
          <w:bottom w:val="single" w:sz="8" w:space="4" w:color="46624C"/>
        </w:pBdr>
      </w:pPr>
      <w:r>
        <w:t>04 | Customer Messaging Framework</w:t>
      </w:r>
    </w:p>
    <w:p w14:paraId="3668C272" w14:textId="77777777" w:rsidR="00B71FA0" w:rsidRDefault="0004094B">
      <w:pPr>
        <w:spacing w:before="80" w:after="120"/>
      </w:pPr>
      <w:r>
        <w:t>Expansion conversations fail most often not because the opportunity is not real, but because the partner frames the conversation incorrectly. Product-feature pitches trigger procurement scrutiny. Value-outcome conversations trigger strategic partnership discussions.</w:t>
      </w:r>
    </w:p>
    <w:p w14:paraId="6BF85CD0" w14:textId="77777777" w:rsidR="00B71FA0" w:rsidRDefault="0004094B">
      <w:pPr>
        <w:pStyle w:val="Heading2"/>
      </w:pPr>
      <w:r>
        <w:t>Value Reinforcement Message</w:t>
      </w:r>
    </w:p>
    <w:p w14:paraId="320D89C1" w14:textId="77777777" w:rsidR="00B71FA0" w:rsidRDefault="0004094B">
      <w:pPr>
        <w:spacing w:before="80" w:after="120"/>
      </w:pPr>
      <w:r>
        <w:t>Use when the customer has achieved documented ROI and is ready to expand the use case.</w:t>
      </w:r>
    </w:p>
    <w:p w14:paraId="4C6A840F" w14:textId="77777777" w:rsidR="00B71FA0" w:rsidRDefault="0004094B">
      <w:pPr>
        <w:pBdr>
          <w:left w:val="single" w:sz="12" w:space="10" w:color="46624C"/>
        </w:pBdr>
        <w:spacing w:before="160" w:after="200"/>
        <w:ind w:left="480"/>
      </w:pPr>
      <w:r>
        <w:rPr>
          <w:i/>
          <w:iCs/>
          <w:color w:val="46624C"/>
        </w:rPr>
        <w:t>"Over the last [time period], you've used [capability] to [achieve outcome]. Many organizations at this stage expand into [new capability] to address [next challenge]. That's a conversation worth having before your next planning cycle."</w:t>
      </w:r>
    </w:p>
    <w:p w14:paraId="2D591036" w14:textId="77777777" w:rsidR="00B71FA0" w:rsidRDefault="0004094B">
      <w:pPr>
        <w:pStyle w:val="Heading2"/>
      </w:pPr>
      <w:r>
        <w:t>Adoption Expansion Message</w:t>
      </w:r>
    </w:p>
    <w:p w14:paraId="4CCFBC83" w14:textId="77777777" w:rsidR="00B71FA0" w:rsidRDefault="0004094B">
      <w:pPr>
        <w:spacing w:before="80" w:after="120"/>
      </w:pPr>
      <w:r>
        <w:t>Use when strong product adoption in one team creates a natural bridge to adjacent teams.</w:t>
      </w:r>
    </w:p>
    <w:p w14:paraId="587FBFB6" w14:textId="77777777" w:rsidR="00B71FA0" w:rsidRDefault="0004094B">
      <w:pPr>
        <w:pBdr>
          <w:left w:val="single" w:sz="12" w:space="10" w:color="46624C"/>
        </w:pBdr>
        <w:spacing w:before="160" w:after="200"/>
        <w:ind w:left="480"/>
      </w:pPr>
      <w:r>
        <w:rPr>
          <w:i/>
          <w:iCs/>
          <w:color w:val="46624C"/>
        </w:rPr>
        <w:t>"We're seeing strong adoption across your [team name]. Organizations at a similar maturity level typically extend this capability to [adjacent department] to create [benefit]. We could put together a short assessment of what that would look like for you."</w:t>
      </w:r>
    </w:p>
    <w:p w14:paraId="37EA85F4" w14:textId="77777777" w:rsidR="00B71FA0" w:rsidRDefault="0004094B">
      <w:pPr>
        <w:pStyle w:val="Heading2"/>
      </w:pPr>
      <w:r>
        <w:t>Renewal and Expansion Message</w:t>
      </w:r>
    </w:p>
    <w:p w14:paraId="3B21BD81" w14:textId="77777777" w:rsidR="00B71FA0" w:rsidRDefault="0004094B">
      <w:pPr>
        <w:spacing w:before="80" w:after="120"/>
      </w:pPr>
      <w:r>
        <w:t>Use when approaching renewal and an expansion opportunity has been identified through usage data or business signals.</w:t>
      </w:r>
    </w:p>
    <w:p w14:paraId="186FCBDE" w14:textId="70E6750F" w:rsidR="00B71FA0" w:rsidRDefault="0004094B">
      <w:pPr>
        <w:pBdr>
          <w:left w:val="single" w:sz="12" w:space="10" w:color="46624C"/>
        </w:pBdr>
        <w:spacing w:before="160" w:after="200"/>
        <w:ind w:left="480"/>
      </w:pPr>
      <w:r>
        <w:rPr>
          <w:i/>
          <w:iCs/>
          <w:color w:val="46624C"/>
        </w:rPr>
        <w:t xml:space="preserve">"As we look ahead to renewal, there are two areas where expanding the platform would significantly increase the value you're already getting , and both are tied directly to </w:t>
      </w:r>
      <w:r>
        <w:rPr>
          <w:i/>
          <w:iCs/>
          <w:color w:val="46624C"/>
        </w:rPr>
        <w:lastRenderedPageBreak/>
        <w:t>[business initiative]. I'd like to walk you through both before we finalize the renewal scope."</w:t>
      </w:r>
    </w:p>
    <w:p w14:paraId="13ECBA80" w14:textId="77777777" w:rsidR="00B71FA0" w:rsidRDefault="0004094B">
      <w:pPr>
        <w:spacing w:before="80" w:after="120"/>
      </w:pPr>
      <w:r>
        <w:t>All three frameworks follow the same structure: acknowledge realized value, identify the next problem, propose a natural path forward. The expansion ask follows from the business logic rather than being inserted as a commercial request.</w:t>
      </w:r>
    </w:p>
    <w:p w14:paraId="7BBB7279" w14:textId="77777777" w:rsidR="00B71FA0" w:rsidRDefault="00B71FA0">
      <w:pPr>
        <w:pBdr>
          <w:bottom w:val="single" w:sz="4" w:space="1" w:color="D0D8D2"/>
        </w:pBdr>
        <w:spacing w:before="120" w:after="360"/>
      </w:pPr>
    </w:p>
    <w:p w14:paraId="2CA7E880" w14:textId="58FB552E" w:rsidR="00B71FA0" w:rsidRDefault="0004094B" w:rsidP="00DF26BC">
      <w:r>
        <w:rPr>
          <w:rFonts w:ascii="Bebas Neue" w:eastAsia="Bebas Neue" w:hAnsi="Bebas Neue" w:cs="Bebas Neue"/>
          <w:color w:val="46624C"/>
          <w:sz w:val="44"/>
          <w:szCs w:val="44"/>
        </w:rPr>
        <w:t>05 | Customer Health &amp; Retention Scoring</w:t>
      </w:r>
    </w:p>
    <w:p w14:paraId="408F4B2B" w14:textId="77777777" w:rsidR="00B71FA0" w:rsidRDefault="0004094B">
      <w:pPr>
        <w:spacing w:before="80" w:after="120"/>
      </w:pPr>
      <w:r>
        <w:t>Partner expansion efforts should be prioritized based on account health, not just deal size or contract value. An at-risk account requires a retention motion, not an upsell motion. The following scorecard gives partners a structured basis for categorizing accounts and directing effort accordingly.</w:t>
      </w:r>
    </w:p>
    <w:p w14:paraId="54439433" w14:textId="77777777" w:rsidR="00B71FA0" w:rsidRDefault="0004094B">
      <w:pPr>
        <w:pStyle w:val="Heading2"/>
      </w:pPr>
      <w:r>
        <w:t>Health Scorecard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960"/>
        <w:gridCol w:w="1600"/>
        <w:gridCol w:w="2600"/>
      </w:tblGrid>
      <w:tr w:rsidR="00B71FA0" w14:paraId="1B4FD5A2" w14:textId="77777777">
        <w:trPr>
          <w:tblHeader/>
        </w:trPr>
        <w:tc>
          <w:tcPr>
            <w:tcW w:w="22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77E1274E" w14:textId="77777777" w:rsidR="00B71FA0" w:rsidRDefault="0004094B">
            <w:r>
              <w:rPr>
                <w:b/>
                <w:bCs/>
                <w:color w:val="FFFFFF"/>
                <w:sz w:val="20"/>
                <w:szCs w:val="20"/>
              </w:rPr>
              <w:t>Category</w:t>
            </w:r>
          </w:p>
        </w:tc>
        <w:tc>
          <w:tcPr>
            <w:tcW w:w="29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13ADDA44" w14:textId="77777777" w:rsidR="00B71FA0" w:rsidRDefault="0004094B">
            <w:r>
              <w:rPr>
                <w:b/>
                <w:bCs/>
                <w:color w:val="FFFFFF"/>
                <w:sz w:val="20"/>
                <w:szCs w:val="20"/>
              </w:rPr>
              <w:t>Metric</w:t>
            </w:r>
          </w:p>
        </w:tc>
        <w:tc>
          <w:tcPr>
            <w:tcW w:w="16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0F9B3128" w14:textId="77777777" w:rsidR="00B71FA0" w:rsidRDefault="0004094B">
            <w:r>
              <w:rPr>
                <w:b/>
                <w:bCs/>
                <w:color w:val="FFFFFF"/>
                <w:sz w:val="20"/>
                <w:szCs w:val="20"/>
              </w:rPr>
              <w:t>Weight</w:t>
            </w:r>
          </w:p>
        </w:tc>
        <w:tc>
          <w:tcPr>
            <w:tcW w:w="26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4FB985D3" w14:textId="77777777" w:rsidR="00B71FA0" w:rsidRDefault="0004094B">
            <w:r>
              <w:rPr>
                <w:b/>
                <w:bCs/>
                <w:color w:val="FFFFFF"/>
                <w:sz w:val="20"/>
                <w:szCs w:val="20"/>
              </w:rPr>
              <w:t>Scoring Guidance</w:t>
            </w:r>
          </w:p>
        </w:tc>
      </w:tr>
      <w:tr w:rsidR="00B71FA0" w14:paraId="008C5D80" w14:textId="77777777">
        <w:tc>
          <w:tcPr>
            <w:tcW w:w="22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0C3637E" w14:textId="77777777" w:rsidR="00B71FA0" w:rsidRDefault="0004094B">
            <w:r>
              <w:rPr>
                <w:b/>
                <w:bCs/>
                <w:color w:val="2B3D2F"/>
                <w:sz w:val="20"/>
                <w:szCs w:val="20"/>
              </w:rPr>
              <w:t>Adoption</w:t>
            </w:r>
          </w:p>
        </w:tc>
        <w:tc>
          <w:tcPr>
            <w:tcW w:w="29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2CCC917" w14:textId="77777777" w:rsidR="00B71FA0" w:rsidRDefault="0004094B">
            <w:r>
              <w:rPr>
                <w:sz w:val="20"/>
                <w:szCs w:val="20"/>
              </w:rPr>
              <w:t>License utilization</w:t>
            </w:r>
          </w:p>
        </w:tc>
        <w:tc>
          <w:tcPr>
            <w:tcW w:w="1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54B5BE9" w14:textId="77777777" w:rsidR="00B71FA0" w:rsidRDefault="0004094B">
            <w:r>
              <w:rPr>
                <w:sz w:val="20"/>
                <w:szCs w:val="20"/>
              </w:rPr>
              <w:t>20%</w:t>
            </w:r>
          </w:p>
        </w:tc>
        <w:tc>
          <w:tcPr>
            <w:tcW w:w="2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711CA57" w14:textId="77777777" w:rsidR="00B71FA0" w:rsidRDefault="0004094B">
            <w:r>
              <w:rPr>
                <w:sz w:val="20"/>
                <w:szCs w:val="20"/>
              </w:rPr>
              <w:t>&lt; 50% = 0 pts · 50–75% = 1 pt · &gt; 75% = 2 pts</w:t>
            </w:r>
          </w:p>
        </w:tc>
      </w:tr>
      <w:tr w:rsidR="00B71FA0" w14:paraId="6F265ABA" w14:textId="77777777">
        <w:tc>
          <w:tcPr>
            <w:tcW w:w="22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3EBAE93" w14:textId="77777777" w:rsidR="00B71FA0" w:rsidRDefault="0004094B">
            <w:r>
              <w:rPr>
                <w:b/>
                <w:bCs/>
                <w:color w:val="2B3D2F"/>
                <w:sz w:val="20"/>
                <w:szCs w:val="20"/>
              </w:rPr>
              <w:t>Adoption</w:t>
            </w:r>
          </w:p>
        </w:tc>
        <w:tc>
          <w:tcPr>
            <w:tcW w:w="29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395044A" w14:textId="77777777" w:rsidR="00B71FA0" w:rsidRDefault="0004094B">
            <w:r>
              <w:rPr>
                <w:sz w:val="20"/>
                <w:szCs w:val="20"/>
              </w:rPr>
              <w:t>Feature adoption depth</w:t>
            </w:r>
          </w:p>
        </w:tc>
        <w:tc>
          <w:tcPr>
            <w:tcW w:w="1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6D2436B" w14:textId="77777777" w:rsidR="00B71FA0" w:rsidRDefault="0004094B">
            <w:r>
              <w:rPr>
                <w:sz w:val="20"/>
                <w:szCs w:val="20"/>
              </w:rPr>
              <w:t>15%</w:t>
            </w:r>
          </w:p>
        </w:tc>
        <w:tc>
          <w:tcPr>
            <w:tcW w:w="2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6B71285D" w14:textId="77777777" w:rsidR="00B71FA0" w:rsidRDefault="0004094B">
            <w:r>
              <w:rPr>
                <w:sz w:val="20"/>
                <w:szCs w:val="20"/>
              </w:rPr>
              <w:t>Basic = 0 · Moderate = 1 · Advanced = 2</w:t>
            </w:r>
          </w:p>
        </w:tc>
      </w:tr>
      <w:tr w:rsidR="00B71FA0" w14:paraId="6C4D5A84" w14:textId="77777777">
        <w:tc>
          <w:tcPr>
            <w:tcW w:w="22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D737933" w14:textId="77777777" w:rsidR="00B71FA0" w:rsidRDefault="0004094B">
            <w:r>
              <w:rPr>
                <w:b/>
                <w:bCs/>
                <w:color w:val="2B3D2F"/>
                <w:sz w:val="20"/>
                <w:szCs w:val="20"/>
              </w:rPr>
              <w:t>Adoption</w:t>
            </w:r>
          </w:p>
        </w:tc>
        <w:tc>
          <w:tcPr>
            <w:tcW w:w="29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1FD5518" w14:textId="77777777" w:rsidR="00B71FA0" w:rsidRDefault="0004094B">
            <w:r>
              <w:rPr>
                <w:sz w:val="20"/>
                <w:szCs w:val="20"/>
              </w:rPr>
              <w:t>API / integration usage</w:t>
            </w:r>
          </w:p>
        </w:tc>
        <w:tc>
          <w:tcPr>
            <w:tcW w:w="1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EB66312" w14:textId="77777777" w:rsidR="00B71FA0" w:rsidRDefault="0004094B">
            <w:r>
              <w:rPr>
                <w:sz w:val="20"/>
                <w:szCs w:val="20"/>
              </w:rPr>
              <w:t>10%</w:t>
            </w:r>
          </w:p>
        </w:tc>
        <w:tc>
          <w:tcPr>
            <w:tcW w:w="2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6036BDA" w14:textId="77777777" w:rsidR="00B71FA0" w:rsidRDefault="0004094B">
            <w:r>
              <w:rPr>
                <w:sz w:val="20"/>
                <w:szCs w:val="20"/>
              </w:rPr>
              <w:t>None = 0 · Limited = 1 · Active = 2</w:t>
            </w:r>
          </w:p>
        </w:tc>
      </w:tr>
      <w:tr w:rsidR="00B71FA0" w14:paraId="446DB650" w14:textId="77777777">
        <w:tc>
          <w:tcPr>
            <w:tcW w:w="22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6E966F5D" w14:textId="77777777" w:rsidR="00B71FA0" w:rsidRDefault="0004094B">
            <w:r>
              <w:rPr>
                <w:b/>
                <w:bCs/>
                <w:color w:val="2B3D2F"/>
                <w:sz w:val="20"/>
                <w:szCs w:val="20"/>
              </w:rPr>
              <w:t>Engagement</w:t>
            </w:r>
          </w:p>
        </w:tc>
        <w:tc>
          <w:tcPr>
            <w:tcW w:w="29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1C3B34E7" w14:textId="77777777" w:rsidR="00B71FA0" w:rsidRDefault="0004094B">
            <w:r>
              <w:rPr>
                <w:sz w:val="20"/>
                <w:szCs w:val="20"/>
              </w:rPr>
              <w:t>Executive sponsorship</w:t>
            </w:r>
          </w:p>
        </w:tc>
        <w:tc>
          <w:tcPr>
            <w:tcW w:w="1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6694DF9" w14:textId="77777777" w:rsidR="00B71FA0" w:rsidRDefault="0004094B">
            <w:r>
              <w:rPr>
                <w:sz w:val="20"/>
                <w:szCs w:val="20"/>
              </w:rPr>
              <w:t>15%</w:t>
            </w:r>
          </w:p>
        </w:tc>
        <w:tc>
          <w:tcPr>
            <w:tcW w:w="2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0E10AF2" w14:textId="77777777" w:rsidR="00B71FA0" w:rsidRDefault="0004094B">
            <w:r>
              <w:rPr>
                <w:sz w:val="20"/>
                <w:szCs w:val="20"/>
              </w:rPr>
              <w:t>None = 0 · Occasional = 1 · Active = 2</w:t>
            </w:r>
          </w:p>
        </w:tc>
      </w:tr>
      <w:tr w:rsidR="00B71FA0" w14:paraId="03A14879" w14:textId="77777777">
        <w:tc>
          <w:tcPr>
            <w:tcW w:w="22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FF7F115" w14:textId="77777777" w:rsidR="00B71FA0" w:rsidRDefault="0004094B">
            <w:r>
              <w:rPr>
                <w:b/>
                <w:bCs/>
                <w:color w:val="2B3D2F"/>
                <w:sz w:val="20"/>
                <w:szCs w:val="20"/>
              </w:rPr>
              <w:t>Engagement</w:t>
            </w:r>
          </w:p>
        </w:tc>
        <w:tc>
          <w:tcPr>
            <w:tcW w:w="29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5E87A30" w14:textId="77777777" w:rsidR="00B71FA0" w:rsidRDefault="0004094B">
            <w:r>
              <w:rPr>
                <w:sz w:val="20"/>
                <w:szCs w:val="20"/>
              </w:rPr>
              <w:t>Training completion</w:t>
            </w:r>
          </w:p>
        </w:tc>
        <w:tc>
          <w:tcPr>
            <w:tcW w:w="1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2A448D2" w14:textId="77777777" w:rsidR="00B71FA0" w:rsidRDefault="0004094B">
            <w:r>
              <w:rPr>
                <w:sz w:val="20"/>
                <w:szCs w:val="20"/>
              </w:rPr>
              <w:t>10%</w:t>
            </w:r>
          </w:p>
        </w:tc>
        <w:tc>
          <w:tcPr>
            <w:tcW w:w="2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38A81C5" w14:textId="77777777" w:rsidR="00B71FA0" w:rsidRDefault="0004094B">
            <w:r>
              <w:rPr>
                <w:sz w:val="20"/>
                <w:szCs w:val="20"/>
              </w:rPr>
              <w:t>&lt; 50% = 0 · 50–80% = 1 · &gt; 80% = 2</w:t>
            </w:r>
          </w:p>
        </w:tc>
      </w:tr>
      <w:tr w:rsidR="00B71FA0" w14:paraId="20FD553A" w14:textId="77777777">
        <w:tc>
          <w:tcPr>
            <w:tcW w:w="22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D65FEA1" w14:textId="77777777" w:rsidR="00B71FA0" w:rsidRDefault="0004094B">
            <w:r>
              <w:rPr>
                <w:b/>
                <w:bCs/>
                <w:color w:val="2B3D2F"/>
                <w:sz w:val="20"/>
                <w:szCs w:val="20"/>
              </w:rPr>
              <w:t>Engagement</w:t>
            </w:r>
          </w:p>
        </w:tc>
        <w:tc>
          <w:tcPr>
            <w:tcW w:w="29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CE65AEE" w14:textId="77777777" w:rsidR="00B71FA0" w:rsidRDefault="0004094B">
            <w:r>
              <w:rPr>
                <w:sz w:val="20"/>
                <w:szCs w:val="20"/>
              </w:rPr>
              <w:t>Support case trend</w:t>
            </w:r>
          </w:p>
        </w:tc>
        <w:tc>
          <w:tcPr>
            <w:tcW w:w="1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1C3B1A47" w14:textId="77777777" w:rsidR="00B71FA0" w:rsidRDefault="0004094B">
            <w:r>
              <w:rPr>
                <w:sz w:val="20"/>
                <w:szCs w:val="20"/>
              </w:rPr>
              <w:t>10%</w:t>
            </w:r>
          </w:p>
        </w:tc>
        <w:tc>
          <w:tcPr>
            <w:tcW w:w="2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26BEA04" w14:textId="77777777" w:rsidR="00B71FA0" w:rsidRDefault="0004094B">
            <w:r>
              <w:rPr>
                <w:sz w:val="20"/>
                <w:szCs w:val="20"/>
              </w:rPr>
              <w:t>Increasing = 0 · Stable = 1 · Decreasing = 2</w:t>
            </w:r>
          </w:p>
        </w:tc>
      </w:tr>
      <w:tr w:rsidR="00B71FA0" w14:paraId="4326C37B" w14:textId="77777777">
        <w:tc>
          <w:tcPr>
            <w:tcW w:w="22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1BB4745" w14:textId="77777777" w:rsidR="00B71FA0" w:rsidRDefault="0004094B">
            <w:r>
              <w:rPr>
                <w:b/>
                <w:bCs/>
                <w:color w:val="2B3D2F"/>
                <w:sz w:val="20"/>
                <w:szCs w:val="20"/>
              </w:rPr>
              <w:t>Commercial</w:t>
            </w:r>
          </w:p>
        </w:tc>
        <w:tc>
          <w:tcPr>
            <w:tcW w:w="29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8A9FA8E" w14:textId="77777777" w:rsidR="00B71FA0" w:rsidRDefault="0004094B">
            <w:r>
              <w:rPr>
                <w:sz w:val="20"/>
                <w:szCs w:val="20"/>
              </w:rPr>
              <w:t>Product diversification</w:t>
            </w:r>
          </w:p>
        </w:tc>
        <w:tc>
          <w:tcPr>
            <w:tcW w:w="1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BFE0748" w14:textId="77777777" w:rsidR="00B71FA0" w:rsidRDefault="0004094B">
            <w:r>
              <w:rPr>
                <w:sz w:val="20"/>
                <w:szCs w:val="20"/>
              </w:rPr>
              <w:t>10%</w:t>
            </w:r>
          </w:p>
        </w:tc>
        <w:tc>
          <w:tcPr>
            <w:tcW w:w="26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B6A2BFF" w14:textId="77777777" w:rsidR="00B71FA0" w:rsidRDefault="0004094B">
            <w:r>
              <w:rPr>
                <w:sz w:val="20"/>
                <w:szCs w:val="20"/>
              </w:rPr>
              <w:t>Single product = 0 · 2 products = 1 · 3+ = 2</w:t>
            </w:r>
          </w:p>
        </w:tc>
      </w:tr>
      <w:tr w:rsidR="00B71FA0" w14:paraId="32A0A8D7" w14:textId="77777777">
        <w:tc>
          <w:tcPr>
            <w:tcW w:w="22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1262A76" w14:textId="77777777" w:rsidR="00B71FA0" w:rsidRDefault="0004094B">
            <w:r>
              <w:rPr>
                <w:b/>
                <w:bCs/>
                <w:color w:val="2B3D2F"/>
                <w:sz w:val="20"/>
                <w:szCs w:val="20"/>
              </w:rPr>
              <w:t>Commercial</w:t>
            </w:r>
          </w:p>
        </w:tc>
        <w:tc>
          <w:tcPr>
            <w:tcW w:w="29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037D678" w14:textId="77777777" w:rsidR="00B71FA0" w:rsidRDefault="0004094B">
            <w:r>
              <w:rPr>
                <w:sz w:val="20"/>
                <w:szCs w:val="20"/>
              </w:rPr>
              <w:t>Renewal timeline health</w:t>
            </w:r>
          </w:p>
        </w:tc>
        <w:tc>
          <w:tcPr>
            <w:tcW w:w="1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92B9F20" w14:textId="77777777" w:rsidR="00B71FA0" w:rsidRDefault="0004094B">
            <w:r>
              <w:rPr>
                <w:sz w:val="20"/>
                <w:szCs w:val="20"/>
              </w:rPr>
              <w:t>10%</w:t>
            </w:r>
          </w:p>
        </w:tc>
        <w:tc>
          <w:tcPr>
            <w:tcW w:w="26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98446E6" w14:textId="77777777" w:rsidR="00B71FA0" w:rsidRDefault="0004094B">
            <w:r>
              <w:rPr>
                <w:sz w:val="20"/>
                <w:szCs w:val="20"/>
              </w:rPr>
              <w:t>Plan missing = 0 · In progress = 1 · Complete = 2</w:t>
            </w:r>
          </w:p>
        </w:tc>
      </w:tr>
    </w:tbl>
    <w:p w14:paraId="5FE8E315" w14:textId="3CFFBAE6" w:rsidR="00B71FA0" w:rsidRDefault="0004094B">
      <w:pPr>
        <w:pStyle w:val="Heading2"/>
      </w:pPr>
      <w:r>
        <w:t>Account Categories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0"/>
        <w:gridCol w:w="5160"/>
      </w:tblGrid>
      <w:tr w:rsidR="00B71FA0" w14:paraId="3A4499B5" w14:textId="77777777">
        <w:trPr>
          <w:tblHeader/>
        </w:trPr>
        <w:tc>
          <w:tcPr>
            <w:tcW w:w="24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E94F916" w14:textId="77777777" w:rsidR="00B71FA0" w:rsidRDefault="0004094B">
            <w:r>
              <w:rPr>
                <w:b/>
                <w:bCs/>
                <w:color w:val="FFFFFF"/>
                <w:sz w:val="20"/>
                <w:szCs w:val="20"/>
              </w:rPr>
              <w:lastRenderedPageBreak/>
              <w:t>Category</w:t>
            </w:r>
          </w:p>
        </w:tc>
        <w:tc>
          <w:tcPr>
            <w:tcW w:w="18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424A6AB" w14:textId="77777777" w:rsidR="00B71FA0" w:rsidRDefault="0004094B">
            <w:r>
              <w:rPr>
                <w:b/>
                <w:bCs/>
                <w:color w:val="FFFFFF"/>
                <w:sz w:val="20"/>
                <w:szCs w:val="20"/>
              </w:rPr>
              <w:t>Score</w:t>
            </w:r>
          </w:p>
        </w:tc>
        <w:tc>
          <w:tcPr>
            <w:tcW w:w="51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D1ADAB1" w14:textId="77777777" w:rsidR="00B71FA0" w:rsidRDefault="0004094B">
            <w:r>
              <w:rPr>
                <w:b/>
                <w:bCs/>
                <w:color w:val="FFFFFF"/>
                <w:sz w:val="20"/>
                <w:szCs w:val="20"/>
              </w:rPr>
              <w:t>Recommended Action</w:t>
            </w:r>
          </w:p>
        </w:tc>
      </w:tr>
      <w:tr w:rsidR="00B71FA0" w14:paraId="1D16D22D" w14:textId="77777777">
        <w:tc>
          <w:tcPr>
            <w:tcW w:w="24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4C993AF" w14:textId="77777777" w:rsidR="00B71FA0" w:rsidRDefault="0004094B">
            <w:r>
              <w:rPr>
                <w:b/>
                <w:bCs/>
                <w:color w:val="2B3D2F"/>
                <w:sz w:val="20"/>
                <w:szCs w:val="20"/>
              </w:rPr>
              <w:t>Expansion Ready</w:t>
            </w:r>
          </w:p>
        </w:tc>
        <w:tc>
          <w:tcPr>
            <w:tcW w:w="1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433A618" w14:textId="77777777" w:rsidR="00B71FA0" w:rsidRDefault="0004094B">
            <w:r>
              <w:rPr>
                <w:sz w:val="20"/>
                <w:szCs w:val="20"/>
              </w:rPr>
              <w:t>14–16 pts</w:t>
            </w:r>
          </w:p>
        </w:tc>
        <w:tc>
          <w:tcPr>
            <w:tcW w:w="51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C77DAEE" w14:textId="77777777" w:rsidR="00B71FA0" w:rsidRDefault="0004094B">
            <w:r>
              <w:rPr>
                <w:sz w:val="20"/>
                <w:szCs w:val="20"/>
              </w:rPr>
              <w:t>Prioritize for upsell and cross-sell motions. Run formal five-step expansion play.</w:t>
            </w:r>
          </w:p>
        </w:tc>
      </w:tr>
      <w:tr w:rsidR="00B71FA0" w14:paraId="505D6408" w14:textId="77777777">
        <w:tc>
          <w:tcPr>
            <w:tcW w:w="24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F89C99D" w14:textId="77777777" w:rsidR="00B71FA0" w:rsidRDefault="0004094B">
            <w:r>
              <w:rPr>
                <w:b/>
                <w:bCs/>
                <w:color w:val="2B3D2F"/>
                <w:sz w:val="20"/>
                <w:szCs w:val="20"/>
              </w:rPr>
              <w:t>Healthy / Maintain</w:t>
            </w:r>
          </w:p>
        </w:tc>
        <w:tc>
          <w:tcPr>
            <w:tcW w:w="1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4084787" w14:textId="77777777" w:rsidR="00B71FA0" w:rsidRDefault="0004094B">
            <w:r>
              <w:rPr>
                <w:sz w:val="20"/>
                <w:szCs w:val="20"/>
              </w:rPr>
              <w:t>8–13 pts</w:t>
            </w:r>
          </w:p>
        </w:tc>
        <w:tc>
          <w:tcPr>
            <w:tcW w:w="51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CACE86D" w14:textId="77777777" w:rsidR="00B71FA0" w:rsidRDefault="0004094B">
            <w:r>
              <w:rPr>
                <w:sz w:val="20"/>
                <w:szCs w:val="20"/>
              </w:rPr>
              <w:t>Maintain engagement cadence. Monitor for signals that shift the account to Expansion Ready.</w:t>
            </w:r>
          </w:p>
        </w:tc>
      </w:tr>
      <w:tr w:rsidR="00B71FA0" w14:paraId="48F6FC91" w14:textId="77777777">
        <w:tc>
          <w:tcPr>
            <w:tcW w:w="24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9D356DB" w14:textId="77777777" w:rsidR="00B71FA0" w:rsidRDefault="0004094B">
            <w:r>
              <w:rPr>
                <w:b/>
                <w:bCs/>
                <w:color w:val="2B3D2F"/>
                <w:sz w:val="20"/>
                <w:szCs w:val="20"/>
              </w:rPr>
              <w:t>At Risk</w:t>
            </w:r>
          </w:p>
        </w:tc>
        <w:tc>
          <w:tcPr>
            <w:tcW w:w="1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BB7E222" w14:textId="77777777" w:rsidR="00B71FA0" w:rsidRDefault="0004094B">
            <w:r>
              <w:rPr>
                <w:sz w:val="20"/>
                <w:szCs w:val="20"/>
              </w:rPr>
              <w:t>0–7 pts</w:t>
            </w:r>
          </w:p>
        </w:tc>
        <w:tc>
          <w:tcPr>
            <w:tcW w:w="51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86AEC45" w14:textId="77777777" w:rsidR="00B71FA0" w:rsidRDefault="0004094B">
            <w:r>
              <w:rPr>
                <w:sz w:val="20"/>
                <w:szCs w:val="20"/>
              </w:rPr>
              <w:t>Prioritize retention and churn prevention. Do not run expansion motions until score improves.</w:t>
            </w:r>
          </w:p>
        </w:tc>
      </w:tr>
    </w:tbl>
    <w:p w14:paraId="464416ED" w14:textId="77777777" w:rsidR="00B71FA0" w:rsidRDefault="00B71FA0">
      <w:pPr>
        <w:spacing w:after="200"/>
      </w:pPr>
    </w:p>
    <w:p w14:paraId="3D304A2E" w14:textId="77777777" w:rsidR="00B71FA0" w:rsidRDefault="0004094B">
      <w:pPr>
        <w:pBdr>
          <w:left w:val="single" w:sz="12" w:space="10" w:color="46624C"/>
        </w:pBdr>
        <w:spacing w:before="160" w:after="200"/>
        <w:ind w:left="480"/>
      </w:pPr>
      <w:r>
        <w:rPr>
          <w:i/>
          <w:iCs/>
          <w:color w:val="46624C"/>
        </w:rPr>
        <w:t>Partners should not run expansion plays on At Risk accounts. Attempting to upsell a customer with unresolved adoption or engagement issues accelerates churn rather than preventing it.</w:t>
      </w:r>
    </w:p>
    <w:p w14:paraId="009A9684" w14:textId="77777777" w:rsidR="00B71FA0" w:rsidRDefault="00B71FA0">
      <w:pPr>
        <w:pBdr>
          <w:bottom w:val="single" w:sz="4" w:space="1" w:color="D0D8D2"/>
        </w:pBdr>
        <w:spacing w:before="120" w:after="360"/>
      </w:pPr>
    </w:p>
    <w:p w14:paraId="458CE439" w14:textId="77777777" w:rsidR="00B71FA0" w:rsidRDefault="0004094B">
      <w:pPr>
        <w:pStyle w:val="Heading1"/>
        <w:pBdr>
          <w:bottom w:val="single" w:sz="8" w:space="4" w:color="46624C"/>
        </w:pBdr>
      </w:pPr>
      <w:r>
        <w:t>06 | Partner Expansion Workflow</w:t>
      </w:r>
    </w:p>
    <w:p w14:paraId="491C473C" w14:textId="47D832EE" w:rsidR="00B71FA0" w:rsidRDefault="0004094B">
      <w:pPr>
        <w:spacing w:before="80" w:after="120"/>
      </w:pPr>
      <w:r>
        <w:t>The expansion motion is not a one-time event , it is a continuous cycle that runs throughout the customer lifecycle. The workflow below describes how signals are converted into expansion revenue and how the cycle sustains itself through post-expansion adoption.</w:t>
      </w:r>
    </w:p>
    <w:p w14:paraId="5CE596A5" w14:textId="77777777" w:rsidR="00B71FA0" w:rsidRDefault="00B71FA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26"/>
        <w:gridCol w:w="6634"/>
      </w:tblGrid>
      <w:tr w:rsidR="00B71FA0" w14:paraId="2E5FA06B" w14:textId="77777777">
        <w:trPr>
          <w:tblHeader/>
        </w:trPr>
        <w:tc>
          <w:tcPr>
            <w:tcW w:w="24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ED12D94" w14:textId="77777777" w:rsidR="00B71FA0" w:rsidRDefault="0004094B">
            <w:r>
              <w:rPr>
                <w:b/>
                <w:bCs/>
                <w:color w:val="FFFFFF"/>
                <w:sz w:val="20"/>
                <w:szCs w:val="20"/>
              </w:rPr>
              <w:t>Stage</w:t>
            </w:r>
          </w:p>
        </w:tc>
        <w:tc>
          <w:tcPr>
            <w:tcW w:w="69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9CE6759" w14:textId="77777777" w:rsidR="00B71FA0" w:rsidRDefault="0004094B">
            <w:r>
              <w:rPr>
                <w:b/>
                <w:bCs/>
                <w:color w:val="FFFFFF"/>
                <w:sz w:val="20"/>
                <w:szCs w:val="20"/>
              </w:rPr>
              <w:t>Description</w:t>
            </w:r>
          </w:p>
        </w:tc>
      </w:tr>
      <w:tr w:rsidR="00B71FA0" w14:paraId="4B6791A7"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599EF9B" w14:textId="214AA41C" w:rsidR="00B71FA0" w:rsidRDefault="0004094B">
            <w:r>
              <w:rPr>
                <w:b/>
                <w:bCs/>
                <w:color w:val="2B3D2F"/>
                <w:sz w:val="20"/>
                <w:szCs w:val="20"/>
              </w:rPr>
              <w:t>1. Signal Generation</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D89D2C5" w14:textId="77777777" w:rsidR="00B71FA0" w:rsidRDefault="0004094B">
            <w:r>
              <w:rPr>
                <w:sz w:val="20"/>
                <w:szCs w:val="20"/>
              </w:rPr>
              <w:t>Signals from product usage data, customer success engagement, and business context. CRM and PRM should surface these automatically rather than requiring manual discovery.</w:t>
            </w:r>
          </w:p>
        </w:tc>
      </w:tr>
      <w:tr w:rsidR="00B71FA0" w14:paraId="36C57A5B"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F4B9573" w14:textId="7D898F47" w:rsidR="00B71FA0" w:rsidRDefault="0004094B">
            <w:r>
              <w:rPr>
                <w:b/>
                <w:bCs/>
                <w:color w:val="2B3D2F"/>
                <w:sz w:val="20"/>
                <w:szCs w:val="20"/>
              </w:rPr>
              <w:t>2. Partner Qualification</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1B13830" w14:textId="77777777" w:rsidR="00B71FA0" w:rsidRDefault="0004094B">
            <w:r>
              <w:rPr>
                <w:sz w:val="20"/>
                <w:szCs w:val="20"/>
              </w:rPr>
              <w:t>Partner confirms the customer's underlying problem, identifies the right product or license expansion to address it, and classifies the opportunity as upsell, cross-sell, or license expansion before any customer contact.</w:t>
            </w:r>
          </w:p>
        </w:tc>
      </w:tr>
      <w:tr w:rsidR="00B71FA0" w14:paraId="2B338C55"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0F3C4B5" w14:textId="487E0DD9" w:rsidR="00B71FA0" w:rsidRDefault="0004094B">
            <w:r>
              <w:rPr>
                <w:b/>
                <w:bCs/>
                <w:color w:val="2B3D2F"/>
                <w:sz w:val="20"/>
                <w:szCs w:val="20"/>
              </w:rPr>
              <w:t>3. Customer Value Conversation</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2CE30D1" w14:textId="55C8B773" w:rsidR="00B71FA0" w:rsidRDefault="0004094B">
            <w:r>
              <w:rPr>
                <w:sz w:val="20"/>
                <w:szCs w:val="20"/>
              </w:rPr>
              <w:t>Expansion conversations occur within the natural rhythm of the relationship, QBRs, success planning sessions, roadmap calls, adoption reviews. Partner frames expansion as the next stage of value realization, not a separate purchasing decision.</w:t>
            </w:r>
          </w:p>
        </w:tc>
      </w:tr>
      <w:tr w:rsidR="00B71FA0" w14:paraId="6B03DCBB"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39B5A83" w14:textId="6AA25342" w:rsidR="00B71FA0" w:rsidRDefault="0004094B">
            <w:r>
              <w:rPr>
                <w:b/>
                <w:bCs/>
                <w:color w:val="2B3D2F"/>
                <w:sz w:val="20"/>
                <w:szCs w:val="20"/>
              </w:rPr>
              <w:t>4. Solution Mapping</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9EC584A" w14:textId="77777777" w:rsidR="00B71FA0" w:rsidRDefault="0004094B">
            <w:r>
              <w:rPr>
                <w:sz w:val="20"/>
                <w:szCs w:val="20"/>
              </w:rPr>
              <w:t>Partner aligns the expansion to a specific, documentable customer outcome: additional licenses for new department, advanced modules for identified capability gaps, integrations that reduce manual overhead, or compliance extensions.</w:t>
            </w:r>
          </w:p>
        </w:tc>
      </w:tr>
      <w:tr w:rsidR="00B71FA0" w14:paraId="67DFEE83"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E37E793" w14:textId="2A4D4F22" w:rsidR="00B71FA0" w:rsidRDefault="0004094B">
            <w:r>
              <w:rPr>
                <w:b/>
                <w:bCs/>
                <w:color w:val="2B3D2F"/>
                <w:sz w:val="20"/>
                <w:szCs w:val="20"/>
              </w:rPr>
              <w:lastRenderedPageBreak/>
              <w:t>5. Validation</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1BBACC6" w14:textId="77777777" w:rsidR="00B71FA0" w:rsidRDefault="0004094B">
            <w:r>
              <w:rPr>
                <w:sz w:val="20"/>
                <w:szCs w:val="20"/>
              </w:rPr>
              <w:t>Proof of concept, pilot deployment, or architecture workshop reduces commercial friction and builds internal champions before budget approval is requested.</w:t>
            </w:r>
          </w:p>
        </w:tc>
      </w:tr>
      <w:tr w:rsidR="00B71FA0" w14:paraId="40B1A856"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14CDF57A" w14:textId="5C9D79AB" w:rsidR="00B71FA0" w:rsidRDefault="0004094B">
            <w:r>
              <w:rPr>
                <w:b/>
                <w:bCs/>
                <w:color w:val="2B3D2F"/>
                <w:sz w:val="20"/>
                <w:szCs w:val="20"/>
              </w:rPr>
              <w:t>6. Commercial Expansion</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C4F13A6" w14:textId="77777777" w:rsidR="00B71FA0" w:rsidRDefault="0004094B">
            <w:r>
              <w:rPr>
                <w:sz w:val="20"/>
                <w:szCs w:val="20"/>
              </w:rPr>
              <w:t>Partner submits formal expansion opportunity in CRM as Upsell, Cross-sell, or License Expansion. Expansion deal follows the same pipeline process as new business through to close.</w:t>
            </w:r>
          </w:p>
        </w:tc>
      </w:tr>
      <w:tr w:rsidR="00B71FA0" w14:paraId="29A75CDD"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A93CDB2" w14:textId="4E5CACE3" w:rsidR="00B71FA0" w:rsidRDefault="0004094B">
            <w:r>
              <w:rPr>
                <w:b/>
                <w:bCs/>
                <w:color w:val="2B3D2F"/>
                <w:sz w:val="20"/>
                <w:szCs w:val="20"/>
              </w:rPr>
              <w:t>7. Post-Expansion Adoption</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347196E" w14:textId="77777777" w:rsidR="00B71FA0" w:rsidRDefault="0004094B">
            <w:r>
              <w:rPr>
                <w:sz w:val="20"/>
                <w:szCs w:val="20"/>
              </w:rPr>
              <w:t>Partner drives adoption of expanded capability, measures usage and value outcomes, and prepares for the next expansion cycle. Successful adoption generates the next round of signals.</w:t>
            </w:r>
          </w:p>
        </w:tc>
      </w:tr>
    </w:tbl>
    <w:p w14:paraId="14A26434" w14:textId="77777777" w:rsidR="00B71FA0" w:rsidRDefault="00B71FA0">
      <w:pPr>
        <w:spacing w:after="200"/>
      </w:pPr>
    </w:p>
    <w:p w14:paraId="34EAD12B" w14:textId="77777777" w:rsidR="00B71FA0" w:rsidRDefault="0004094B">
      <w:pPr>
        <w:pBdr>
          <w:left w:val="single" w:sz="12" w:space="10" w:color="46624C"/>
        </w:pBdr>
        <w:spacing w:before="160" w:after="200"/>
        <w:ind w:left="480"/>
      </w:pPr>
      <w:r>
        <w:rPr>
          <w:i/>
          <w:iCs/>
          <w:color w:val="46624C"/>
        </w:rPr>
        <w:t>NRR is not a sales metric. It is an adoption metric. Partners who close expansion deals without driving adoption will see those gains reversed at the next renewal.</w:t>
      </w:r>
    </w:p>
    <w:p w14:paraId="2F6733E4" w14:textId="77777777" w:rsidR="00B71FA0" w:rsidRDefault="00B71FA0">
      <w:pPr>
        <w:pBdr>
          <w:bottom w:val="single" w:sz="4" w:space="1" w:color="D0D8D2"/>
        </w:pBdr>
        <w:spacing w:before="120" w:after="360"/>
      </w:pPr>
    </w:p>
    <w:p w14:paraId="69D1C431" w14:textId="77777777" w:rsidR="00B71FA0" w:rsidRDefault="0004094B">
      <w:pPr>
        <w:pStyle w:val="Heading1"/>
        <w:pBdr>
          <w:bottom w:val="single" w:sz="8" w:space="4" w:color="46624C"/>
        </w:pBdr>
      </w:pPr>
      <w:r>
        <w:t>07 | Expansion &amp; Retention Metrics</w:t>
      </w:r>
    </w:p>
    <w:p w14:paraId="2F60698A" w14:textId="77777777" w:rsidR="00B71FA0" w:rsidRDefault="0004094B">
      <w:pPr>
        <w:pStyle w:val="Heading2"/>
      </w:pPr>
      <w:r>
        <w:t>Core Retention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1FA0" w14:paraId="561804C6" w14:textId="77777777">
        <w:trPr>
          <w:tblHeader/>
        </w:trPr>
        <w:tc>
          <w:tcPr>
            <w:tcW w:w="28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2337F0F5" w14:textId="77777777" w:rsidR="00B71FA0" w:rsidRDefault="0004094B">
            <w:r>
              <w:rPr>
                <w:b/>
                <w:bCs/>
                <w:color w:val="FFFFFF"/>
                <w:sz w:val="20"/>
                <w:szCs w:val="20"/>
              </w:rPr>
              <w:t>Metric</w:t>
            </w:r>
          </w:p>
        </w:tc>
        <w:tc>
          <w:tcPr>
            <w:tcW w:w="65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3423A259" w14:textId="77777777" w:rsidR="00B71FA0" w:rsidRDefault="0004094B">
            <w:r>
              <w:rPr>
                <w:b/>
                <w:bCs/>
                <w:color w:val="FFFFFF"/>
                <w:sz w:val="20"/>
                <w:szCs w:val="20"/>
              </w:rPr>
              <w:t>Definition &amp; Target</w:t>
            </w:r>
          </w:p>
        </w:tc>
      </w:tr>
      <w:tr w:rsidR="00B71FA0" w14:paraId="51653FEF"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27C14F7" w14:textId="77777777" w:rsidR="00B71FA0" w:rsidRDefault="0004094B">
            <w:r>
              <w:rPr>
                <w:b/>
                <w:bCs/>
                <w:color w:val="2B3D2F"/>
                <w:sz w:val="20"/>
                <w:szCs w:val="20"/>
              </w:rPr>
              <w:t>Net Revenue Retention (NRR)</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D3D3D4C" w14:textId="77777777" w:rsidR="00B71FA0" w:rsidRDefault="0004094B">
            <w:r>
              <w:rPr>
                <w:sz w:val="20"/>
                <w:szCs w:val="20"/>
              </w:rPr>
              <w:t>Expansion ARR + renewal ARR − churn ARR ÷ beginning ARR. Primary measure of partner-driven customer base growth. Target: 110%+ for high-performing ecosystems.</w:t>
            </w:r>
          </w:p>
        </w:tc>
      </w:tr>
      <w:tr w:rsidR="00B71FA0" w14:paraId="5AC20B9F"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4529DEC" w14:textId="77777777" w:rsidR="00B71FA0" w:rsidRDefault="0004094B">
            <w:r>
              <w:rPr>
                <w:b/>
                <w:bCs/>
                <w:color w:val="2B3D2F"/>
                <w:sz w:val="20"/>
                <w:szCs w:val="20"/>
              </w:rPr>
              <w:t>Gross Revenue Retention (GRR)</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6081485D" w14:textId="77777777" w:rsidR="00B71FA0" w:rsidRDefault="0004094B">
            <w:r>
              <w:rPr>
                <w:sz w:val="20"/>
                <w:szCs w:val="20"/>
              </w:rPr>
              <w:t>Renewal ARR − churn ARR ÷ beginning ARR. Measures base retention independent of expansion. Target: 90%+ minimum.</w:t>
            </w:r>
          </w:p>
        </w:tc>
      </w:tr>
      <w:tr w:rsidR="00B71FA0" w14:paraId="400CAA16"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144CBEB" w14:textId="77777777" w:rsidR="00B71FA0" w:rsidRDefault="0004094B">
            <w:r>
              <w:rPr>
                <w:b/>
                <w:bCs/>
                <w:color w:val="2B3D2F"/>
                <w:sz w:val="20"/>
                <w:szCs w:val="20"/>
              </w:rPr>
              <w:t>Renewal Rate</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74FEB90" w14:textId="77777777" w:rsidR="00B71FA0" w:rsidRDefault="0004094B">
            <w:r>
              <w:rPr>
                <w:sz w:val="20"/>
                <w:szCs w:val="20"/>
              </w:rPr>
              <w:t>% of up-for-renewal ARR successfully renewed in the period. Tracked by partner tier, segment, and region.</w:t>
            </w:r>
          </w:p>
        </w:tc>
      </w:tr>
      <w:tr w:rsidR="00B71FA0" w14:paraId="7A561677"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0E5DF5D" w14:textId="77777777" w:rsidR="00B71FA0" w:rsidRDefault="0004094B">
            <w:r>
              <w:rPr>
                <w:b/>
                <w:bCs/>
                <w:color w:val="2B3D2F"/>
                <w:sz w:val="20"/>
                <w:szCs w:val="20"/>
              </w:rPr>
              <w:t>Churn ARR</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DB6D6AA" w14:textId="77777777" w:rsidR="00B71FA0" w:rsidRDefault="0004094B">
            <w:r>
              <w:rPr>
                <w:sz w:val="20"/>
                <w:szCs w:val="20"/>
              </w:rPr>
              <w:t>ARR lost to cancellations or non-renewals. Tracked by partner-attached vs. non-partner-attached to demonstrate partner retention impact.</w:t>
            </w:r>
          </w:p>
        </w:tc>
      </w:tr>
      <w:tr w:rsidR="00B71FA0" w14:paraId="7B1958A3"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3A8C3D9" w14:textId="77777777" w:rsidR="00B71FA0" w:rsidRDefault="0004094B">
            <w:r>
              <w:rPr>
                <w:b/>
                <w:bCs/>
                <w:color w:val="2B3D2F"/>
                <w:sz w:val="20"/>
                <w:szCs w:val="20"/>
              </w:rPr>
              <w:t>Expansion ARR</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C6E35F9" w14:textId="77777777" w:rsidR="00B71FA0" w:rsidRDefault="0004094B">
            <w:r>
              <w:rPr>
                <w:sz w:val="20"/>
                <w:szCs w:val="20"/>
              </w:rPr>
              <w:t>New ARR generated from existing customers through upsell, cross-sell, or license expansion. Reported separately from new logo ARR.</w:t>
            </w:r>
          </w:p>
        </w:tc>
      </w:tr>
    </w:tbl>
    <w:p w14:paraId="05F0A857" w14:textId="77777777" w:rsidR="00DF26BC" w:rsidRDefault="00DF26BC">
      <w:pPr>
        <w:pStyle w:val="Heading2"/>
      </w:pPr>
    </w:p>
    <w:p w14:paraId="730EECD3" w14:textId="77777777" w:rsidR="00DF26BC" w:rsidRDefault="00DF26BC">
      <w:pPr>
        <w:pStyle w:val="Heading2"/>
      </w:pPr>
    </w:p>
    <w:p w14:paraId="0837E8D9" w14:textId="7C76C275" w:rsidR="00B71FA0" w:rsidRDefault="0004094B">
      <w:pPr>
        <w:pStyle w:val="Heading2"/>
      </w:pPr>
      <w:r>
        <w:lastRenderedPageBreak/>
        <w:t>Expansion Revenue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1FA0" w14:paraId="766A3393" w14:textId="77777777">
        <w:trPr>
          <w:tblHeader/>
        </w:trPr>
        <w:tc>
          <w:tcPr>
            <w:tcW w:w="28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05956AC2" w14:textId="77777777" w:rsidR="00B71FA0" w:rsidRDefault="0004094B">
            <w:r>
              <w:rPr>
                <w:b/>
                <w:bCs/>
                <w:color w:val="FFFFFF"/>
                <w:sz w:val="20"/>
                <w:szCs w:val="20"/>
              </w:rPr>
              <w:t>Metric</w:t>
            </w:r>
          </w:p>
        </w:tc>
        <w:tc>
          <w:tcPr>
            <w:tcW w:w="65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502D56DD" w14:textId="77777777" w:rsidR="00B71FA0" w:rsidRDefault="0004094B">
            <w:r>
              <w:rPr>
                <w:b/>
                <w:bCs/>
                <w:color w:val="FFFFFF"/>
                <w:sz w:val="20"/>
                <w:szCs w:val="20"/>
              </w:rPr>
              <w:t>Definition</w:t>
            </w:r>
          </w:p>
        </w:tc>
      </w:tr>
      <w:tr w:rsidR="00B71FA0" w14:paraId="4CC6A355"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3497FB1" w14:textId="77777777" w:rsidR="00B71FA0" w:rsidRDefault="0004094B">
            <w:r>
              <w:rPr>
                <w:b/>
                <w:bCs/>
                <w:color w:val="2B3D2F"/>
                <w:sz w:val="20"/>
                <w:szCs w:val="20"/>
              </w:rPr>
              <w:t>Upsell ARR</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5B49BB8" w14:textId="77777777" w:rsidR="00B71FA0" w:rsidRDefault="0004094B">
            <w:r>
              <w:rPr>
                <w:sz w:val="20"/>
                <w:szCs w:val="20"/>
              </w:rPr>
              <w:t>Additional ARR from license count increases or tier upgrades within the same product line.</w:t>
            </w:r>
          </w:p>
        </w:tc>
      </w:tr>
      <w:tr w:rsidR="00B71FA0" w14:paraId="4E0ACC1E"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B74C446" w14:textId="77777777" w:rsidR="00B71FA0" w:rsidRDefault="0004094B">
            <w:r>
              <w:rPr>
                <w:b/>
                <w:bCs/>
                <w:color w:val="2B3D2F"/>
                <w:sz w:val="20"/>
                <w:szCs w:val="20"/>
              </w:rPr>
              <w:t>Cross-sell ARR</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99AADCF" w14:textId="77777777" w:rsidR="00B71FA0" w:rsidRDefault="0004094B">
            <w:r>
              <w:rPr>
                <w:sz w:val="20"/>
                <w:szCs w:val="20"/>
              </w:rPr>
              <w:t>Additional ARR from adding a new product, module, or service to an existing customer account.</w:t>
            </w:r>
          </w:p>
        </w:tc>
      </w:tr>
      <w:tr w:rsidR="00B71FA0" w14:paraId="584C9A23"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F4586A6" w14:textId="77777777" w:rsidR="00B71FA0" w:rsidRDefault="0004094B">
            <w:r>
              <w:rPr>
                <w:b/>
                <w:bCs/>
                <w:color w:val="2B3D2F"/>
                <w:sz w:val="20"/>
                <w:szCs w:val="20"/>
              </w:rPr>
              <w:t>Expansion ARR per Customer</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94B496C" w14:textId="77777777" w:rsidR="00B71FA0" w:rsidRDefault="0004094B">
            <w:r>
              <w:rPr>
                <w:sz w:val="20"/>
                <w:szCs w:val="20"/>
              </w:rPr>
              <w:t>Total expansion ARR ÷ total partner-attached customer count. Average expansion productivity per account.</w:t>
            </w:r>
          </w:p>
        </w:tc>
      </w:tr>
      <w:tr w:rsidR="00B71FA0" w14:paraId="6F524A9D"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DC20BC2" w14:textId="77777777" w:rsidR="00B71FA0" w:rsidRDefault="0004094B">
            <w:r>
              <w:rPr>
                <w:b/>
                <w:bCs/>
                <w:color w:val="2B3D2F"/>
                <w:sz w:val="20"/>
                <w:szCs w:val="20"/>
              </w:rPr>
              <w:t>Expansion Pipeline Value</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6849B930" w14:textId="77777777" w:rsidR="00B71FA0" w:rsidRDefault="0004094B">
            <w:r>
              <w:rPr>
                <w:sz w:val="20"/>
                <w:szCs w:val="20"/>
              </w:rPr>
              <w:t>Total qualified expansion opportunities in pipeline, tracked with coverage ratio vs. expansion ARR target.</w:t>
            </w:r>
          </w:p>
        </w:tc>
      </w:tr>
      <w:tr w:rsidR="00B71FA0" w14:paraId="5AA830F8"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305639E" w14:textId="77777777" w:rsidR="00B71FA0" w:rsidRDefault="0004094B">
            <w:r>
              <w:rPr>
                <w:b/>
                <w:bCs/>
                <w:color w:val="2B3D2F"/>
                <w:sz w:val="20"/>
                <w:szCs w:val="20"/>
              </w:rPr>
              <w:t>Expansion Conversion Rate</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0CB8488" w14:textId="77777777" w:rsidR="00B71FA0" w:rsidRDefault="0004094B">
            <w:r>
              <w:rPr>
                <w:sz w:val="20"/>
                <w:szCs w:val="20"/>
              </w:rPr>
              <w:t>Expansion opportunities closed ÷ expansion opportunities qualified. Benchmarked against new business conversion.</w:t>
            </w:r>
          </w:p>
        </w:tc>
      </w:tr>
    </w:tbl>
    <w:p w14:paraId="1217ABD4" w14:textId="77777777" w:rsidR="00B71FA0" w:rsidRDefault="0004094B">
      <w:pPr>
        <w:pStyle w:val="Heading2"/>
      </w:pPr>
      <w:r>
        <w:t>Partner Expansion Metrics</w:t>
      </w:r>
    </w:p>
    <w:p w14:paraId="3127947F" w14:textId="77777777" w:rsidR="00B71FA0" w:rsidRDefault="0004094B">
      <w:pPr>
        <w:spacing w:before="80" w:after="120"/>
      </w:pPr>
      <w:r>
        <w:t>Identifies which partners are growing customers versus simply selling new logos.</w:t>
      </w:r>
    </w:p>
    <w:p w14:paraId="56789F1E" w14:textId="77777777" w:rsidR="00B71FA0" w:rsidRDefault="00B71FA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1FA0" w14:paraId="5F7C8F03" w14:textId="77777777">
        <w:trPr>
          <w:tblHeader/>
        </w:trPr>
        <w:tc>
          <w:tcPr>
            <w:tcW w:w="28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C7D3553" w14:textId="77777777" w:rsidR="00B71FA0" w:rsidRDefault="0004094B">
            <w:r>
              <w:rPr>
                <w:b/>
                <w:bCs/>
                <w:color w:val="FFFFFF"/>
                <w:sz w:val="20"/>
                <w:szCs w:val="20"/>
              </w:rPr>
              <w:t>Metric</w:t>
            </w:r>
          </w:p>
        </w:tc>
        <w:tc>
          <w:tcPr>
            <w:tcW w:w="65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1A739735" w14:textId="77777777" w:rsidR="00B71FA0" w:rsidRDefault="0004094B">
            <w:r>
              <w:rPr>
                <w:b/>
                <w:bCs/>
                <w:color w:val="FFFFFF"/>
                <w:sz w:val="20"/>
                <w:szCs w:val="20"/>
              </w:rPr>
              <w:t>Definition</w:t>
            </w:r>
          </w:p>
        </w:tc>
      </w:tr>
      <w:tr w:rsidR="00B71FA0" w14:paraId="2356BB9E"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8876039" w14:textId="77777777" w:rsidR="00B71FA0" w:rsidRDefault="0004094B">
            <w:r>
              <w:rPr>
                <w:b/>
                <w:bCs/>
                <w:color w:val="2B3D2F"/>
                <w:sz w:val="20"/>
                <w:szCs w:val="20"/>
              </w:rPr>
              <w:t>Partner-Sourced Expansion ARR</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C834766" w14:textId="77777777" w:rsidR="00B71FA0" w:rsidRDefault="0004094B">
            <w:r>
              <w:rPr>
                <w:sz w:val="20"/>
                <w:szCs w:val="20"/>
              </w:rPr>
              <w:t>Expansion ARR where the partner directly identified and drove the opportunity to close.</w:t>
            </w:r>
          </w:p>
        </w:tc>
      </w:tr>
      <w:tr w:rsidR="00B71FA0" w14:paraId="1B739105"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16872A4" w14:textId="77777777" w:rsidR="00B71FA0" w:rsidRDefault="0004094B">
            <w:r>
              <w:rPr>
                <w:b/>
                <w:bCs/>
                <w:color w:val="2B3D2F"/>
                <w:sz w:val="20"/>
                <w:szCs w:val="20"/>
              </w:rPr>
              <w:t>Partner-Influenced Expansion ARR</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F02DA0A" w14:textId="77777777" w:rsidR="00B71FA0" w:rsidRDefault="0004094B">
            <w:r>
              <w:rPr>
                <w:sz w:val="20"/>
                <w:szCs w:val="20"/>
              </w:rPr>
              <w:t>Expansion ARR where partner engagement accelerated or supported an expansion that originated through another channel.</w:t>
            </w:r>
          </w:p>
        </w:tc>
      </w:tr>
      <w:tr w:rsidR="00B71FA0" w14:paraId="392FABF8"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B8F290F" w14:textId="77777777" w:rsidR="00B71FA0" w:rsidRDefault="0004094B">
            <w:r>
              <w:rPr>
                <w:b/>
                <w:bCs/>
                <w:color w:val="2B3D2F"/>
                <w:sz w:val="20"/>
                <w:szCs w:val="20"/>
              </w:rPr>
              <w:t>Expansion ARR by Partner</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E26FFC9" w14:textId="77777777" w:rsidR="00B71FA0" w:rsidRDefault="0004094B">
            <w:r>
              <w:rPr>
                <w:sz w:val="20"/>
                <w:szCs w:val="20"/>
              </w:rPr>
              <w:t>Total expansion ARR across the partner's attached accounts. Used for leaderboard and tier review.</w:t>
            </w:r>
          </w:p>
        </w:tc>
      </w:tr>
      <w:tr w:rsidR="00B71FA0" w14:paraId="0DD7566D"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4E51CF0" w14:textId="77777777" w:rsidR="00B71FA0" w:rsidRDefault="0004094B">
            <w:r>
              <w:rPr>
                <w:b/>
                <w:bCs/>
                <w:color w:val="2B3D2F"/>
                <w:sz w:val="20"/>
                <w:szCs w:val="20"/>
              </w:rPr>
              <w:t>Partner Renewal Rate</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149406D8" w14:textId="77777777" w:rsidR="00B71FA0" w:rsidRDefault="0004094B">
            <w:r>
              <w:rPr>
                <w:sz w:val="20"/>
                <w:szCs w:val="20"/>
              </w:rPr>
              <w:t>Renewal rate across the partner's attached customer accounts. Below-average rates trigger enablement review.</w:t>
            </w:r>
          </w:p>
        </w:tc>
      </w:tr>
      <w:tr w:rsidR="00B71FA0" w14:paraId="2F3A8828"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91B51CA" w14:textId="77777777" w:rsidR="00B71FA0" w:rsidRDefault="0004094B">
            <w:r>
              <w:rPr>
                <w:b/>
                <w:bCs/>
                <w:color w:val="2B3D2F"/>
                <w:sz w:val="20"/>
                <w:szCs w:val="20"/>
              </w:rPr>
              <w:t>Multi-Product Adoption Rate</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81D8315" w14:textId="77777777" w:rsidR="00B71FA0" w:rsidRDefault="0004094B">
            <w:r>
              <w:rPr>
                <w:sz w:val="20"/>
                <w:szCs w:val="20"/>
              </w:rPr>
              <w:t>% of partner-attached customers using two or more products. Leading indicator of NRR health and expansion potential.</w:t>
            </w:r>
          </w:p>
        </w:tc>
      </w:tr>
    </w:tbl>
    <w:p w14:paraId="00EA47FB" w14:textId="7BE833C0" w:rsidR="00B71FA0" w:rsidRDefault="0004094B">
      <w:pPr>
        <w:pStyle w:val="Heading2"/>
      </w:pPr>
      <w:r>
        <w:t>Product-Level Expansion Tracking</w:t>
      </w:r>
    </w:p>
    <w:p w14:paraId="36D8155E" w14:textId="77777777" w:rsidR="00B71FA0" w:rsidRDefault="00B71FA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20"/>
        <w:gridCol w:w="2120"/>
        <w:gridCol w:w="2120"/>
      </w:tblGrid>
      <w:tr w:rsidR="00B71FA0" w14:paraId="44A9A758" w14:textId="77777777">
        <w:trPr>
          <w:tblHeader/>
        </w:trPr>
        <w:tc>
          <w:tcPr>
            <w:tcW w:w="30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1AB87EEF" w14:textId="77777777" w:rsidR="00B71FA0" w:rsidRDefault="0004094B">
            <w:r>
              <w:rPr>
                <w:b/>
                <w:bCs/>
                <w:color w:val="FFFFFF"/>
                <w:sz w:val="20"/>
                <w:szCs w:val="20"/>
              </w:rPr>
              <w:t>Product / Module</w:t>
            </w:r>
          </w:p>
        </w:tc>
        <w:tc>
          <w:tcPr>
            <w:tcW w:w="212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32EA5637" w14:textId="77777777" w:rsidR="00B71FA0" w:rsidRDefault="0004094B">
            <w:r>
              <w:rPr>
                <w:b/>
                <w:bCs/>
                <w:color w:val="FFFFFF"/>
                <w:sz w:val="20"/>
                <w:szCs w:val="20"/>
              </w:rPr>
              <w:t>Installed Base ARR</w:t>
            </w:r>
          </w:p>
        </w:tc>
        <w:tc>
          <w:tcPr>
            <w:tcW w:w="212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62FA4914" w14:textId="77777777" w:rsidR="00B71FA0" w:rsidRDefault="0004094B">
            <w:r>
              <w:rPr>
                <w:b/>
                <w:bCs/>
                <w:color w:val="FFFFFF"/>
                <w:sz w:val="20"/>
                <w:szCs w:val="20"/>
              </w:rPr>
              <w:t>Expansion ARR</w:t>
            </w:r>
          </w:p>
        </w:tc>
        <w:tc>
          <w:tcPr>
            <w:tcW w:w="212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36D280F2" w14:textId="77777777" w:rsidR="00B71FA0" w:rsidRDefault="0004094B">
            <w:r>
              <w:rPr>
                <w:b/>
                <w:bCs/>
                <w:color w:val="FFFFFF"/>
                <w:sz w:val="20"/>
                <w:szCs w:val="20"/>
              </w:rPr>
              <w:t>Expansion Rate (%)</w:t>
            </w:r>
          </w:p>
        </w:tc>
      </w:tr>
      <w:tr w:rsidR="00B71FA0" w14:paraId="6B8C30B4" w14:textId="77777777">
        <w:tc>
          <w:tcPr>
            <w:tcW w:w="3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B85B63B" w14:textId="77777777" w:rsidR="00B71FA0" w:rsidRDefault="0004094B">
            <w:r>
              <w:rPr>
                <w:b/>
                <w:bCs/>
                <w:color w:val="2B3D2F"/>
                <w:sz w:val="20"/>
                <w:szCs w:val="20"/>
              </w:rPr>
              <w:t>Core Platform</w:t>
            </w:r>
          </w:p>
        </w:tc>
        <w:tc>
          <w:tcPr>
            <w:tcW w:w="21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3ACD86B"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8F73252"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E526F7E" w14:textId="77777777" w:rsidR="00B71FA0" w:rsidRDefault="0004094B">
            <w:r>
              <w:rPr>
                <w:sz w:val="20"/>
                <w:szCs w:val="20"/>
              </w:rPr>
              <w:t>%</w:t>
            </w:r>
          </w:p>
        </w:tc>
      </w:tr>
      <w:tr w:rsidR="00B71FA0" w14:paraId="410C1BC4" w14:textId="77777777">
        <w:tc>
          <w:tcPr>
            <w:tcW w:w="30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C355403" w14:textId="77777777" w:rsidR="00B71FA0" w:rsidRDefault="0004094B">
            <w:r>
              <w:rPr>
                <w:b/>
                <w:bCs/>
                <w:color w:val="2B3D2F"/>
                <w:sz w:val="20"/>
                <w:szCs w:val="20"/>
              </w:rPr>
              <w:t>Security Module</w:t>
            </w:r>
          </w:p>
        </w:tc>
        <w:tc>
          <w:tcPr>
            <w:tcW w:w="21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4E4E337"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BED6CA6"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E6E1AEF" w14:textId="77777777" w:rsidR="00B71FA0" w:rsidRDefault="0004094B">
            <w:r>
              <w:rPr>
                <w:sz w:val="20"/>
                <w:szCs w:val="20"/>
              </w:rPr>
              <w:t>%</w:t>
            </w:r>
          </w:p>
        </w:tc>
      </w:tr>
      <w:tr w:rsidR="00B71FA0" w14:paraId="3B603383" w14:textId="77777777">
        <w:tc>
          <w:tcPr>
            <w:tcW w:w="30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891F8FC" w14:textId="77777777" w:rsidR="00B71FA0" w:rsidRDefault="0004094B">
            <w:r>
              <w:rPr>
                <w:b/>
                <w:bCs/>
                <w:color w:val="2B3D2F"/>
                <w:sz w:val="20"/>
                <w:szCs w:val="20"/>
              </w:rPr>
              <w:lastRenderedPageBreak/>
              <w:t>Automation Module</w:t>
            </w:r>
          </w:p>
        </w:tc>
        <w:tc>
          <w:tcPr>
            <w:tcW w:w="21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30999A9"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258D87E"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25760310" w14:textId="77777777" w:rsidR="00B71FA0" w:rsidRDefault="0004094B">
            <w:r>
              <w:rPr>
                <w:sz w:val="20"/>
                <w:szCs w:val="20"/>
              </w:rPr>
              <w:t>%</w:t>
            </w:r>
          </w:p>
        </w:tc>
      </w:tr>
      <w:tr w:rsidR="00B71FA0" w14:paraId="1F83CE89" w14:textId="77777777">
        <w:tc>
          <w:tcPr>
            <w:tcW w:w="30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4A509FE" w14:textId="77777777" w:rsidR="00B71FA0" w:rsidRDefault="0004094B">
            <w:r>
              <w:rPr>
                <w:b/>
                <w:bCs/>
                <w:color w:val="2B3D2F"/>
                <w:sz w:val="20"/>
                <w:szCs w:val="20"/>
              </w:rPr>
              <w:t>Analytics Add-On</w:t>
            </w:r>
          </w:p>
        </w:tc>
        <w:tc>
          <w:tcPr>
            <w:tcW w:w="21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A7D5A91"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6087246" w14:textId="77777777" w:rsidR="00B71FA0" w:rsidRDefault="0004094B">
            <w:r>
              <w:rPr>
                <w:sz w:val="20"/>
                <w:szCs w:val="20"/>
              </w:rPr>
              <w:t>$</w:t>
            </w:r>
          </w:p>
        </w:tc>
        <w:tc>
          <w:tcPr>
            <w:tcW w:w="212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D14BC2C" w14:textId="77777777" w:rsidR="00B71FA0" w:rsidRDefault="0004094B">
            <w:r>
              <w:rPr>
                <w:sz w:val="20"/>
                <w:szCs w:val="20"/>
              </w:rPr>
              <w:t>%</w:t>
            </w:r>
          </w:p>
        </w:tc>
      </w:tr>
    </w:tbl>
    <w:p w14:paraId="26325BE7" w14:textId="77777777" w:rsidR="00B71FA0" w:rsidRDefault="00B71FA0">
      <w:pPr>
        <w:pBdr>
          <w:bottom w:val="single" w:sz="4" w:space="1" w:color="D0D8D2"/>
        </w:pBdr>
        <w:spacing w:before="120" w:after="360"/>
      </w:pPr>
    </w:p>
    <w:p w14:paraId="14D668A7" w14:textId="77777777" w:rsidR="00B71FA0" w:rsidRDefault="0004094B">
      <w:pPr>
        <w:pStyle w:val="Heading1"/>
        <w:pBdr>
          <w:bottom w:val="single" w:sz="8" w:space="4" w:color="46624C"/>
        </w:pBdr>
      </w:pPr>
      <w:r>
        <w:t>08 | Partner Enablement &amp; Tooling Requirements</w:t>
      </w:r>
    </w:p>
    <w:p w14:paraId="00799C39" w14:textId="77777777" w:rsidR="00B71FA0" w:rsidRDefault="0004094B">
      <w:pPr>
        <w:spacing w:before="80" w:after="120"/>
      </w:pPr>
      <w:r>
        <w:t>Expansion programs fail most often not because partners lack motivation, but because they lack visibility. Partners cannot act on signals they cannot see. This section defines the data access, tooling, and CRM/PRM configuration that makes the expansion motion operationally viable.</w:t>
      </w:r>
    </w:p>
    <w:p w14:paraId="546AEA1B" w14:textId="77777777" w:rsidR="00B71FA0" w:rsidRDefault="0004094B">
      <w:pPr>
        <w:pStyle w:val="Heading2"/>
      </w:pPr>
      <w:r>
        <w:t>Data Partners Should Receive</w:t>
      </w:r>
    </w:p>
    <w:p w14:paraId="24A3FEE1" w14:textId="77777777" w:rsidR="00B71FA0" w:rsidRDefault="0004094B">
      <w:pPr>
        <w:pStyle w:val="ListParagraph"/>
        <w:numPr>
          <w:ilvl w:val="0"/>
          <w:numId w:val="2"/>
        </w:numPr>
        <w:spacing w:after="80"/>
      </w:pPr>
      <w:r>
        <w:t>Customer usage dashboards: license utilization, active user trends, feature adoption depth</w:t>
      </w:r>
    </w:p>
    <w:p w14:paraId="4275C05A" w14:textId="77777777" w:rsidR="00B71FA0" w:rsidRDefault="0004094B">
      <w:pPr>
        <w:pStyle w:val="ListParagraph"/>
        <w:numPr>
          <w:ilvl w:val="0"/>
          <w:numId w:val="2"/>
        </w:numPr>
        <w:spacing w:after="80"/>
      </w:pPr>
      <w:r>
        <w:t>Expansion opportunity alerts: automated triggers when utilization crosses defined thresholds</w:t>
      </w:r>
    </w:p>
    <w:p w14:paraId="3A610287" w14:textId="77777777" w:rsidR="00B71FA0" w:rsidRDefault="0004094B">
      <w:pPr>
        <w:pStyle w:val="ListParagraph"/>
        <w:numPr>
          <w:ilvl w:val="0"/>
          <w:numId w:val="2"/>
        </w:numPr>
        <w:spacing w:after="80"/>
      </w:pPr>
      <w:r>
        <w:t>Renewal timelines: 180-, 90-, and 60-day milestones with current status</w:t>
      </w:r>
    </w:p>
    <w:p w14:paraId="36AAD9F9" w14:textId="4CDF805E" w:rsidR="00B71FA0" w:rsidRDefault="0004094B">
      <w:pPr>
        <w:pStyle w:val="ListParagraph"/>
        <w:numPr>
          <w:ilvl w:val="0"/>
          <w:numId w:val="2"/>
        </w:numPr>
        <w:spacing w:after="80"/>
      </w:pPr>
      <w:r>
        <w:t>Account health scores: current tier and trend direction, improving, stable, or declining</w:t>
      </w:r>
    </w:p>
    <w:p w14:paraId="5378F2A2" w14:textId="77777777" w:rsidR="00B71FA0" w:rsidRDefault="0004094B">
      <w:pPr>
        <w:pStyle w:val="ListParagraph"/>
        <w:numPr>
          <w:ilvl w:val="0"/>
          <w:numId w:val="2"/>
        </w:numPr>
        <w:spacing w:after="80"/>
      </w:pPr>
      <w:r>
        <w:t>Competitive intelligence alerts: signals indicating competing products are being evaluated</w:t>
      </w:r>
    </w:p>
    <w:p w14:paraId="5D883406" w14:textId="77777777" w:rsidR="00B71FA0" w:rsidRDefault="0004094B">
      <w:pPr>
        <w:pStyle w:val="Heading2"/>
      </w:pPr>
      <w:r>
        <w:t>CRM / PRM Data Schema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24"/>
        <w:gridCol w:w="6636"/>
      </w:tblGrid>
      <w:tr w:rsidR="00B71FA0" w14:paraId="13DADC91" w14:textId="77777777" w:rsidTr="00DF26BC">
        <w:trPr>
          <w:tblHeader/>
        </w:trPr>
        <w:tc>
          <w:tcPr>
            <w:tcW w:w="2724"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44262262" w14:textId="77777777" w:rsidR="00B71FA0" w:rsidRDefault="0004094B">
            <w:r>
              <w:rPr>
                <w:b/>
                <w:bCs/>
                <w:color w:val="FFFFFF"/>
                <w:sz w:val="20"/>
                <w:szCs w:val="20"/>
              </w:rPr>
              <w:t>Object</w:t>
            </w:r>
          </w:p>
        </w:tc>
        <w:tc>
          <w:tcPr>
            <w:tcW w:w="6636"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0601F32E" w14:textId="77777777" w:rsidR="00B71FA0" w:rsidRDefault="0004094B">
            <w:r>
              <w:rPr>
                <w:b/>
                <w:bCs/>
                <w:color w:val="FFFFFF"/>
                <w:sz w:val="20"/>
                <w:szCs w:val="20"/>
              </w:rPr>
              <w:t>Required Fields</w:t>
            </w:r>
          </w:p>
        </w:tc>
      </w:tr>
      <w:tr w:rsidR="00B71FA0" w14:paraId="78F22070" w14:textId="77777777" w:rsidTr="00DF26BC">
        <w:tc>
          <w:tcPr>
            <w:tcW w:w="2724"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E4C6AA3" w14:textId="77777777" w:rsidR="00B71FA0" w:rsidRDefault="0004094B">
            <w:r>
              <w:rPr>
                <w:b/>
                <w:bCs/>
                <w:color w:val="2B3D2F"/>
                <w:sz w:val="20"/>
                <w:szCs w:val="20"/>
              </w:rPr>
              <w:t>Partner Account</w:t>
            </w:r>
          </w:p>
        </w:tc>
        <w:tc>
          <w:tcPr>
            <w:tcW w:w="6636"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4A3BF63" w14:textId="77777777" w:rsidR="00B71FA0" w:rsidRDefault="0004094B">
            <w:r>
              <w:rPr>
                <w:sz w:val="20"/>
                <w:szCs w:val="20"/>
              </w:rPr>
              <w:t>Partner type · partner tier · expansion ARR sourced · expansion ARR influenced · renewal rate · average expansion deal size · active customer count</w:t>
            </w:r>
          </w:p>
        </w:tc>
      </w:tr>
      <w:tr w:rsidR="00B71FA0" w14:paraId="51A38E9A" w14:textId="77777777" w:rsidTr="00DF26BC">
        <w:tc>
          <w:tcPr>
            <w:tcW w:w="2724"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BD362F8" w14:textId="77777777" w:rsidR="00B71FA0" w:rsidRDefault="0004094B">
            <w:r>
              <w:rPr>
                <w:b/>
                <w:bCs/>
                <w:color w:val="2B3D2F"/>
                <w:sz w:val="20"/>
                <w:szCs w:val="20"/>
              </w:rPr>
              <w:t>Customer Account</w:t>
            </w:r>
          </w:p>
        </w:tc>
        <w:tc>
          <w:tcPr>
            <w:tcW w:w="6636"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788AEB7" w14:textId="77777777" w:rsidR="00B71FA0" w:rsidRDefault="0004094B">
            <w:r>
              <w:rPr>
                <w:sz w:val="20"/>
                <w:szCs w:val="20"/>
              </w:rPr>
              <w:t>Associated partner · total ARR · product mix · customer health score · renewal date · expansion potential rating · last partner activity date</w:t>
            </w:r>
          </w:p>
        </w:tc>
      </w:tr>
      <w:tr w:rsidR="00B71FA0" w14:paraId="0A179492" w14:textId="77777777" w:rsidTr="00DF26BC">
        <w:tc>
          <w:tcPr>
            <w:tcW w:w="2724"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AA287FC" w14:textId="77777777" w:rsidR="00B71FA0" w:rsidRDefault="0004094B">
            <w:r>
              <w:rPr>
                <w:b/>
                <w:bCs/>
                <w:color w:val="2B3D2F"/>
                <w:sz w:val="20"/>
                <w:szCs w:val="20"/>
              </w:rPr>
              <w:t>Opportunity</w:t>
            </w:r>
          </w:p>
        </w:tc>
        <w:tc>
          <w:tcPr>
            <w:tcW w:w="6636"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8478074" w14:textId="77777777" w:rsidR="00B71FA0" w:rsidRDefault="0004094B">
            <w:r>
              <w:rPr>
                <w:sz w:val="20"/>
                <w:szCs w:val="20"/>
              </w:rPr>
              <w:t>Opportunity type (New Business / Renewal / Upsell / Cross-sell) · originating partner · expansion trigger type · expansion product category · expansion ARR value</w:t>
            </w:r>
          </w:p>
        </w:tc>
      </w:tr>
      <w:tr w:rsidR="00B71FA0" w14:paraId="009434DA" w14:textId="77777777" w:rsidTr="00DF26BC">
        <w:tc>
          <w:tcPr>
            <w:tcW w:w="2724"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5AB61E1" w14:textId="77777777" w:rsidR="00B71FA0" w:rsidRDefault="0004094B">
            <w:r>
              <w:rPr>
                <w:b/>
                <w:bCs/>
                <w:color w:val="2B3D2F"/>
                <w:sz w:val="20"/>
                <w:szCs w:val="20"/>
              </w:rPr>
              <w:t>Product Usage</w:t>
            </w:r>
          </w:p>
        </w:tc>
        <w:tc>
          <w:tcPr>
            <w:tcW w:w="6636"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5AD6E175" w14:textId="77777777" w:rsidR="00B71FA0" w:rsidRDefault="0004094B">
            <w:r>
              <w:rPr>
                <w:sz w:val="20"/>
                <w:szCs w:val="20"/>
              </w:rPr>
              <w:t>License utilization % · monthly active users · feature adoption level · API activity flag · last usage date (if CRM-integrated)</w:t>
            </w:r>
          </w:p>
        </w:tc>
      </w:tr>
    </w:tbl>
    <w:p w14:paraId="50BC3F86" w14:textId="77777777" w:rsidR="00B71FA0" w:rsidRDefault="00B71FA0">
      <w:pPr>
        <w:spacing w:after="200"/>
      </w:pPr>
    </w:p>
    <w:p w14:paraId="60DDD796" w14:textId="77777777" w:rsidR="00B71FA0" w:rsidRDefault="0004094B">
      <w:pPr>
        <w:pBdr>
          <w:left w:val="single" w:sz="12" w:space="10" w:color="46624C"/>
        </w:pBdr>
        <w:spacing w:before="160" w:after="200"/>
        <w:ind w:left="480"/>
      </w:pPr>
      <w:r>
        <w:rPr>
          <w:i/>
          <w:iCs/>
          <w:color w:val="46624C"/>
        </w:rPr>
        <w:lastRenderedPageBreak/>
        <w:t>Partners who cannot see their customers' health data in the tools they already use will not build the discipline of monitoring it. Data accessibility is a program design decision, not a technical afterthought.</w:t>
      </w:r>
    </w:p>
    <w:p w14:paraId="39A48DFA" w14:textId="77777777" w:rsidR="00B71FA0" w:rsidRDefault="00B71FA0">
      <w:pPr>
        <w:pBdr>
          <w:bottom w:val="single" w:sz="4" w:space="1" w:color="D0D8D2"/>
        </w:pBdr>
        <w:spacing w:before="120" w:after="360"/>
      </w:pPr>
    </w:p>
    <w:p w14:paraId="78E78CA7" w14:textId="77777777" w:rsidR="00B71FA0" w:rsidRDefault="0004094B">
      <w:pPr>
        <w:pStyle w:val="Heading1"/>
        <w:pBdr>
          <w:bottom w:val="single" w:sz="8" w:space="4" w:color="46624C"/>
        </w:pBdr>
      </w:pPr>
      <w:r>
        <w:t>09 | Partner Expansion Marketing Plays</w:t>
      </w:r>
    </w:p>
    <w:p w14:paraId="660BE4E4" w14:textId="517C628E" w:rsidR="00B71FA0" w:rsidRDefault="0004094B">
      <w:pPr>
        <w:spacing w:before="80" w:after="120"/>
      </w:pPr>
      <w:r>
        <w:t>In addition to direct sales motions, partners should run customer-facing marketing campaigns specifically designed to surface expansion conversations. These campaigns educate rather than sell, the correct approach for customers who already have a product relationship.</w:t>
      </w:r>
    </w:p>
    <w:p w14:paraId="7158F357" w14:textId="77777777" w:rsidR="00B71FA0" w:rsidRDefault="0004094B">
      <w:pPr>
        <w:pStyle w:val="Heading2"/>
      </w:pPr>
      <w:r>
        <w:t>Feature Adoption Campaigns</w:t>
      </w:r>
    </w:p>
    <w:p w14:paraId="7C7C3BC0" w14:textId="1CF73714" w:rsidR="00B71FA0" w:rsidRDefault="0004094B">
      <w:pPr>
        <w:pStyle w:val="ListParagraph"/>
        <w:numPr>
          <w:ilvl w:val="0"/>
          <w:numId w:val="2"/>
        </w:numPr>
        <w:spacing w:after="80"/>
      </w:pPr>
      <w:r>
        <w:t>"Advanced Feature Workshop" - structured session introducing unused capabilities, tied to customer-specific use cases</w:t>
      </w:r>
    </w:p>
    <w:p w14:paraId="450D2B5D" w14:textId="776FA5B7" w:rsidR="00B71FA0" w:rsidRDefault="0004094B">
      <w:pPr>
        <w:pStyle w:val="ListParagraph"/>
        <w:numPr>
          <w:ilvl w:val="0"/>
          <w:numId w:val="2"/>
        </w:numPr>
        <w:spacing w:after="80"/>
      </w:pPr>
      <w:r>
        <w:t>"Power User Program" - certification or training series for customer team members who want to build deeper expertise</w:t>
      </w:r>
    </w:p>
    <w:p w14:paraId="254556F1" w14:textId="50A6D6DD" w:rsidR="00B71FA0" w:rsidRDefault="0004094B">
      <w:pPr>
        <w:pStyle w:val="ListParagraph"/>
        <w:numPr>
          <w:ilvl w:val="0"/>
          <w:numId w:val="2"/>
        </w:numPr>
        <w:spacing w:after="80"/>
      </w:pPr>
      <w:r>
        <w:t>"Quarterly Product Update Webinar” - regular touchpoint on new capabilities that creates natural expansion conversations</w:t>
      </w:r>
    </w:p>
    <w:p w14:paraId="5E08344D" w14:textId="77777777" w:rsidR="00B71FA0" w:rsidRDefault="0004094B">
      <w:pPr>
        <w:pStyle w:val="Heading2"/>
      </w:pPr>
      <w:r>
        <w:t>Industry &amp; Maturity-Based Campaigns</w:t>
      </w:r>
    </w:p>
    <w:p w14:paraId="7BCB56F2" w14:textId="79F1F45E" w:rsidR="00B71FA0" w:rsidRDefault="0004094B">
      <w:pPr>
        <w:pStyle w:val="ListParagraph"/>
        <w:numPr>
          <w:ilvl w:val="0"/>
          <w:numId w:val="2"/>
        </w:numPr>
        <w:spacing w:after="80"/>
      </w:pPr>
      <w:r>
        <w:t>"How Mature Is Your [Function] Program?" - assessment that benchmarks the customer against peers and surfaces gaps expansion products can address</w:t>
      </w:r>
    </w:p>
    <w:p w14:paraId="42D36E1C" w14:textId="77777777" w:rsidR="00B71FA0" w:rsidRDefault="0004094B">
      <w:pPr>
        <w:pStyle w:val="ListParagraph"/>
        <w:numPr>
          <w:ilvl w:val="0"/>
          <w:numId w:val="2"/>
        </w:numPr>
        <w:spacing w:after="80"/>
      </w:pPr>
      <w:r>
        <w:t>Industry-specific case studies showing how comparable companies expanded their usage across departments</w:t>
      </w:r>
    </w:p>
    <w:p w14:paraId="44340D1A" w14:textId="27D68F40" w:rsidR="00B71FA0" w:rsidRDefault="0004094B">
      <w:pPr>
        <w:pStyle w:val="ListParagraph"/>
        <w:numPr>
          <w:ilvl w:val="0"/>
          <w:numId w:val="2"/>
        </w:numPr>
        <w:spacing w:after="80"/>
      </w:pPr>
      <w:r>
        <w:t>"State of [Industry] Webinar" - thought leadership content that connects industry trends to product capabilities</w:t>
      </w:r>
    </w:p>
    <w:p w14:paraId="1818900D" w14:textId="77777777" w:rsidR="00B71FA0" w:rsidRDefault="0004094B">
      <w:pPr>
        <w:pStyle w:val="Heading2"/>
      </w:pPr>
      <w:r>
        <w:t>Customer Expansion Workshops</w:t>
      </w:r>
    </w:p>
    <w:p w14:paraId="015AFBAC" w14:textId="416F0D94" w:rsidR="00B71FA0" w:rsidRDefault="0004094B">
      <w:pPr>
        <w:pStyle w:val="ListParagraph"/>
        <w:numPr>
          <w:ilvl w:val="0"/>
          <w:numId w:val="2"/>
        </w:numPr>
        <w:spacing w:after="80"/>
      </w:pPr>
      <w:r>
        <w:t>"Extending Your Security Program Across the Organization" - surfaces the case for additional products or license expansion</w:t>
      </w:r>
    </w:p>
    <w:p w14:paraId="1A75AAC3" w14:textId="3AE27E46" w:rsidR="00B71FA0" w:rsidRDefault="0004094B">
      <w:pPr>
        <w:pStyle w:val="ListParagraph"/>
        <w:numPr>
          <w:ilvl w:val="0"/>
          <w:numId w:val="2"/>
        </w:numPr>
        <w:spacing w:after="80"/>
      </w:pPr>
      <w:r>
        <w:t>"Building an Automated [Workflow] with [Product]" - introduces integration and automation capabilities to customers not yet using them</w:t>
      </w:r>
    </w:p>
    <w:p w14:paraId="2F24B3F0" w14:textId="5C0C4C1F" w:rsidR="00B71FA0" w:rsidRDefault="0004094B">
      <w:pPr>
        <w:pStyle w:val="ListParagraph"/>
        <w:numPr>
          <w:ilvl w:val="0"/>
          <w:numId w:val="2"/>
        </w:numPr>
        <w:spacing w:after="80"/>
      </w:pPr>
      <w:r>
        <w:t>"Roadmap Alignment Session" - joint planning that connects customer initiatives to product roadmap and identifies expansion opportunities</w:t>
      </w:r>
    </w:p>
    <w:p w14:paraId="2E17CCE7" w14:textId="77777777" w:rsidR="00B71FA0" w:rsidRDefault="00B71FA0">
      <w:pPr>
        <w:pBdr>
          <w:bottom w:val="single" w:sz="4" w:space="1" w:color="D0D8D2"/>
        </w:pBdr>
        <w:spacing w:before="120" w:after="360"/>
      </w:pPr>
    </w:p>
    <w:p w14:paraId="621C796B" w14:textId="77777777" w:rsidR="00B71FA0" w:rsidRDefault="0004094B">
      <w:pPr>
        <w:pStyle w:val="Heading1"/>
        <w:pBdr>
          <w:bottom w:val="single" w:sz="8" w:space="4" w:color="46624C"/>
        </w:pBdr>
      </w:pPr>
      <w:r>
        <w:lastRenderedPageBreak/>
        <w:t>10 | Partner Incentives for Expansion &amp; Retention</w:t>
      </w:r>
    </w:p>
    <w:p w14:paraId="796AE89A" w14:textId="77777777" w:rsidR="00B71FA0" w:rsidRDefault="0004094B">
      <w:pPr>
        <w:spacing w:before="80" w:after="120"/>
      </w:pPr>
      <w:r>
        <w:t>Partner incentive structures must explicitly reward expansion and retention outcomes, or partners will continue to focus their energy on new logo acquisition. This is the most common structural failure in programs that underperform on NRR.</w:t>
      </w:r>
    </w:p>
    <w:p w14:paraId="796AE89B" w14:textId="70C5BB95" w:rsidR="00B71FA0" w:rsidRDefault="0004094B">
      <w:pPr>
        <w:spacing w:before="80" w:after="120"/>
      </w:pPr>
      <w:r>
        <w:t>The economics are straightforward: acquiring a new customer costs five to seven times more than expanding an existing one. Yet most partner compensation plans are weighted almost entirely toward new logo ARR. When partners are evaluated on new pipeline and paid on new bookings, that is exactly where their time and energy go. Existing customers become passive</w:t>
      </w:r>
      <w:r w:rsidR="00601E90">
        <w:t>,</w:t>
      </w:r>
      <w:r>
        <w:t xml:space="preserve"> maintained just enough to renew, but rarely actively grown.</w:t>
      </w:r>
    </w:p>
    <w:p w14:paraId="796AE89C" w14:textId="166187E3" w:rsidR="00B71FA0" w:rsidRDefault="0004094B">
      <w:pPr>
        <w:spacing w:before="80" w:after="120"/>
      </w:pPr>
      <w:r>
        <w:t>Fixing this requires deliberate program design. Incentives signal what the vendor values. A partner who sees that expansion ARR is compensated, that early renewals are rewarded, and that improving a struggling account earns recognition will build habits and workflows around those outcomes. A partner who sees none of that will not</w:t>
      </w:r>
      <w:r w:rsidR="00601E90">
        <w:t xml:space="preserve">, </w:t>
      </w:r>
      <w:r>
        <w:t>regardless of what the program guide says.</w:t>
      </w:r>
    </w:p>
    <w:p w14:paraId="796AE89D" w14:textId="77777777" w:rsidR="00B71FA0" w:rsidRDefault="0004094B">
      <w:pPr>
        <w:pStyle w:val="Heading2"/>
      </w:pPr>
      <w:r>
        <w:t>Why Partners Default to New Logo</w:t>
      </w:r>
    </w:p>
    <w:p w14:paraId="796AE89E" w14:textId="77777777" w:rsidR="00B71FA0" w:rsidRDefault="0004094B">
      <w:pPr>
        <w:spacing w:before="80" w:after="120"/>
      </w:pPr>
      <w:r>
        <w:t>Understanding why partners default to new logo acquisition is the first step to changing the behavior. There are four structural reasons this happens in most channel programs:</w:t>
      </w:r>
    </w:p>
    <w:p w14:paraId="796AE8A0" w14:textId="77777777" w:rsidR="00B71FA0" w:rsidRDefault="0004094B">
      <w:pPr>
        <w:pStyle w:val="ListParagraph"/>
        <w:numPr>
          <w:ilvl w:val="0"/>
          <w:numId w:val="2"/>
        </w:numPr>
        <w:spacing w:after="80"/>
      </w:pPr>
      <w:r>
        <w:rPr>
          <w:b/>
          <w:bCs/>
        </w:rPr>
        <w:t xml:space="preserve">Compensation is front-loaded on new bookings. </w:t>
      </w:r>
      <w:r>
        <w:t>Expansion and renewal revenue is often excluded from partner compensation entirely, or paid at a significantly lower rate than new ARR. Partners respond to what they are paid for.</w:t>
      </w:r>
    </w:p>
    <w:p w14:paraId="796AE8A1" w14:textId="77777777" w:rsidR="00B71FA0" w:rsidRDefault="0004094B">
      <w:pPr>
        <w:pStyle w:val="ListParagraph"/>
        <w:numPr>
          <w:ilvl w:val="0"/>
          <w:numId w:val="2"/>
        </w:numPr>
        <w:spacing w:after="80"/>
      </w:pPr>
      <w:r>
        <w:rPr>
          <w:b/>
          <w:bCs/>
        </w:rPr>
        <w:t xml:space="preserve">Expansion requires more effort per dollar. </w:t>
      </w:r>
      <w:r>
        <w:t>Upselling an existing customer involves navigating a relationship, managing existing expectations, and often working around incumbent budget constraints. New deals feel cleaner and more predictable to a partner seller.</w:t>
      </w:r>
    </w:p>
    <w:p w14:paraId="796AE8A2" w14:textId="77777777" w:rsidR="00B71FA0" w:rsidRDefault="0004094B">
      <w:pPr>
        <w:pStyle w:val="ListParagraph"/>
        <w:numPr>
          <w:ilvl w:val="0"/>
          <w:numId w:val="2"/>
        </w:numPr>
        <w:spacing w:after="80"/>
      </w:pPr>
      <w:r>
        <w:rPr>
          <w:b/>
          <w:bCs/>
        </w:rPr>
        <w:t xml:space="preserve">Partner managers are measured on pipeline, not NRR. </w:t>
      </w:r>
      <w:r>
        <w:t>When the internal metric that drives performance reviews is new pipeline generated, the behavior cascades to partners. Expansion and retention rarely appear in partner QBR scorecards or tier advancement criteria.</w:t>
      </w:r>
    </w:p>
    <w:p w14:paraId="796AE8A3" w14:textId="77777777" w:rsidR="00B71FA0" w:rsidRDefault="0004094B">
      <w:pPr>
        <w:pStyle w:val="ListParagraph"/>
        <w:numPr>
          <w:ilvl w:val="0"/>
          <w:numId w:val="2"/>
        </w:numPr>
        <w:spacing w:after="80"/>
      </w:pPr>
      <w:r>
        <w:rPr>
          <w:b/>
          <w:bCs/>
        </w:rPr>
        <w:t xml:space="preserve">Renewal is treated as automatic. </w:t>
      </w:r>
      <w:r>
        <w:t>In programs where renewal is assumed rather than earned, partners have no reason to engage early or invest in customer health. By the time a renewal is at risk, it is often too late to recover it.</w:t>
      </w:r>
    </w:p>
    <w:p w14:paraId="796AE8A4" w14:textId="307429A3" w:rsidR="00B71FA0" w:rsidRDefault="0004094B">
      <w:pPr>
        <w:pBdr>
          <w:left w:val="single" w:sz="12" w:space="10" w:color="46624C"/>
        </w:pBdr>
        <w:spacing w:before="160" w:after="200"/>
        <w:ind w:left="480"/>
      </w:pPr>
      <w:r>
        <w:rPr>
          <w:i/>
          <w:iCs/>
          <w:color w:val="46624C"/>
        </w:rPr>
        <w:t xml:space="preserve">Incentive structures are not just compensation </w:t>
      </w:r>
      <w:proofErr w:type="gramStart"/>
      <w:r>
        <w:rPr>
          <w:i/>
          <w:iCs/>
          <w:color w:val="46624C"/>
        </w:rPr>
        <w:t>mechanics</w:t>
      </w:r>
      <w:r w:rsidR="00601E90">
        <w:rPr>
          <w:i/>
          <w:iCs/>
          <w:color w:val="46624C"/>
        </w:rPr>
        <w:t>,</w:t>
      </w:r>
      <w:proofErr w:type="gramEnd"/>
      <w:r>
        <w:rPr>
          <w:i/>
          <w:iCs/>
          <w:color w:val="46624C"/>
        </w:rPr>
        <w:t xml:space="preserve"> they are a signal of what the program values. Partners read them carefully, even when they say nothing.</w:t>
      </w:r>
    </w:p>
    <w:p w14:paraId="796AE8A5" w14:textId="77777777" w:rsidR="00B71FA0" w:rsidRDefault="0004094B">
      <w:pPr>
        <w:pStyle w:val="Heading2"/>
      </w:pPr>
      <w:r>
        <w:t>Designing Incentives That Drive the Right Behavior</w:t>
      </w:r>
    </w:p>
    <w:p w14:paraId="796AE8A6" w14:textId="6CD57F04" w:rsidR="00B71FA0" w:rsidRDefault="0004094B">
      <w:pPr>
        <w:spacing w:before="80" w:after="120"/>
      </w:pPr>
      <w:r>
        <w:t>Effective expansion and retention incentives share three characteristics. They are visible</w:t>
      </w:r>
      <w:r w:rsidR="00601E90">
        <w:t xml:space="preserve"> -</w:t>
      </w:r>
      <w:r>
        <w:t xml:space="preserve"> partners can see exactly what behavior earns what reward without reading program fine </w:t>
      </w:r>
      <w:r>
        <w:lastRenderedPageBreak/>
        <w:t>print. They are meaningful</w:t>
      </w:r>
      <w:r w:rsidR="00601E90">
        <w:t xml:space="preserve"> -</w:t>
      </w:r>
      <w:r>
        <w:t xml:space="preserve"> the payout is large enough to influence how a partner allocates time. And they are attributable</w:t>
      </w:r>
      <w:r w:rsidR="00601E90">
        <w:t xml:space="preserve"> -</w:t>
      </w:r>
      <w:r>
        <w:t xml:space="preserve"> the partner can clearly connect their specific </w:t>
      </w:r>
      <w:proofErr w:type="gramStart"/>
      <w:r>
        <w:t>action</w:t>
      </w:r>
      <w:proofErr w:type="gramEnd"/>
      <w:r>
        <w:t xml:space="preserve"> to the reward they received.</w:t>
      </w:r>
    </w:p>
    <w:p w14:paraId="796AE8A7" w14:textId="52C53C52" w:rsidR="00B71FA0" w:rsidRDefault="0004094B">
      <w:pPr>
        <w:spacing w:before="80" w:after="120"/>
      </w:pPr>
      <w:r>
        <w:t>The table below outlines the core incentive types that should be present in any program that expects partners to treat expansion and retention as primary motions. These should be reviewed annually</w:t>
      </w:r>
      <w:r w:rsidR="00601E90">
        <w:t>,</w:t>
      </w:r>
      <w:r>
        <w:t xml:space="preserve"> not just set and forgotten. Programs that reward only new logo ARR will build a partner base that treats existing customers as passive, and NRR will reflect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B71FA0" w14:paraId="5F604BFD" w14:textId="77777777">
        <w:trPr>
          <w:tblHeader/>
        </w:trPr>
        <w:tc>
          <w:tcPr>
            <w:tcW w:w="28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2DCAFF34" w14:textId="77777777" w:rsidR="00B71FA0" w:rsidRDefault="0004094B">
            <w:r>
              <w:rPr>
                <w:b/>
                <w:bCs/>
                <w:color w:val="FFFFFF"/>
                <w:sz w:val="20"/>
                <w:szCs w:val="20"/>
              </w:rPr>
              <w:t>Incentive Type</w:t>
            </w:r>
          </w:p>
        </w:tc>
        <w:tc>
          <w:tcPr>
            <w:tcW w:w="328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5FAD3C90" w14:textId="77777777" w:rsidR="00B71FA0" w:rsidRDefault="0004094B">
            <w:r>
              <w:rPr>
                <w:b/>
                <w:bCs/>
                <w:color w:val="FFFFFF"/>
                <w:sz w:val="20"/>
                <w:szCs w:val="20"/>
              </w:rPr>
              <w:t>Structure</w:t>
            </w:r>
          </w:p>
        </w:tc>
        <w:tc>
          <w:tcPr>
            <w:tcW w:w="328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13F955E1" w14:textId="77777777" w:rsidR="00B71FA0" w:rsidRDefault="0004094B">
            <w:r>
              <w:rPr>
                <w:b/>
                <w:bCs/>
                <w:color w:val="FFFFFF"/>
                <w:sz w:val="20"/>
                <w:szCs w:val="20"/>
              </w:rPr>
              <w:t>Purpose</w:t>
            </w:r>
          </w:p>
        </w:tc>
      </w:tr>
      <w:tr w:rsidR="00B71FA0" w14:paraId="731A2291"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0C500C0B" w14:textId="77777777" w:rsidR="00B71FA0" w:rsidRDefault="0004094B">
            <w:r>
              <w:rPr>
                <w:b/>
                <w:bCs/>
                <w:color w:val="2B3D2F"/>
                <w:sz w:val="20"/>
                <w:szCs w:val="20"/>
              </w:rPr>
              <w:t>Expansion ARR Commission</w:t>
            </w:r>
          </w:p>
        </w:tc>
        <w:tc>
          <w:tcPr>
            <w:tcW w:w="328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5EAC162" w14:textId="0A0AF438" w:rsidR="00B71FA0" w:rsidRDefault="0004094B">
            <w:r>
              <w:rPr>
                <w:sz w:val="20"/>
                <w:szCs w:val="20"/>
              </w:rPr>
              <w:t>Commission rate on upsell and cross-sell ARR, typically 60</w:t>
            </w:r>
            <w:r w:rsidR="00601E90">
              <w:rPr>
                <w:sz w:val="20"/>
                <w:szCs w:val="20"/>
              </w:rPr>
              <w:t>-</w:t>
            </w:r>
            <w:r>
              <w:rPr>
                <w:sz w:val="20"/>
                <w:szCs w:val="20"/>
              </w:rPr>
              <w:t>80% of new logo rate to reflect lower acquisition cost</w:t>
            </w:r>
          </w:p>
        </w:tc>
        <w:tc>
          <w:tcPr>
            <w:tcW w:w="328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4A09C011" w14:textId="77777777" w:rsidR="00B71FA0" w:rsidRDefault="0004094B">
            <w:r>
              <w:rPr>
                <w:sz w:val="20"/>
                <w:szCs w:val="20"/>
              </w:rPr>
              <w:t>Creates direct financial incentive for partner-led expansion activity</w:t>
            </w:r>
          </w:p>
        </w:tc>
      </w:tr>
      <w:tr w:rsidR="00B71FA0" w14:paraId="0F9240FE"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CACFF13" w14:textId="77777777" w:rsidR="00B71FA0" w:rsidRDefault="0004094B">
            <w:r>
              <w:rPr>
                <w:b/>
                <w:bCs/>
                <w:color w:val="2B3D2F"/>
                <w:sz w:val="20"/>
                <w:szCs w:val="20"/>
              </w:rPr>
              <w:t>Renewal Bonus</w:t>
            </w:r>
          </w:p>
        </w:tc>
        <w:tc>
          <w:tcPr>
            <w:tcW w:w="328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23C2530C" w14:textId="77777777" w:rsidR="00B71FA0" w:rsidRDefault="0004094B">
            <w:r>
              <w:rPr>
                <w:sz w:val="20"/>
                <w:szCs w:val="20"/>
              </w:rPr>
              <w:t>Flat bonus or accelerated rate for renewals closed 90+ days before expiration</w:t>
            </w:r>
          </w:p>
        </w:tc>
        <w:tc>
          <w:tcPr>
            <w:tcW w:w="328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0F8B059" w14:textId="77777777" w:rsidR="00B71FA0" w:rsidRDefault="0004094B">
            <w:r>
              <w:rPr>
                <w:sz w:val="20"/>
                <w:szCs w:val="20"/>
              </w:rPr>
              <w:t>Rewards early renewal engagement and reduces at-risk churn</w:t>
            </w:r>
          </w:p>
        </w:tc>
      </w:tr>
      <w:tr w:rsidR="00B71FA0" w14:paraId="378F1285"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8D41115" w14:textId="77777777" w:rsidR="00B71FA0" w:rsidRDefault="0004094B">
            <w:r>
              <w:rPr>
                <w:b/>
                <w:bCs/>
                <w:color w:val="2B3D2F"/>
                <w:sz w:val="20"/>
                <w:szCs w:val="20"/>
              </w:rPr>
              <w:t>Multi-Product Adoption Incentive</w:t>
            </w:r>
          </w:p>
        </w:tc>
        <w:tc>
          <w:tcPr>
            <w:tcW w:w="328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AA05766" w14:textId="77777777" w:rsidR="00B71FA0" w:rsidRDefault="0004094B">
            <w:r>
              <w:rPr>
                <w:sz w:val="20"/>
                <w:szCs w:val="20"/>
              </w:rPr>
              <w:t>MDF allocation or spiff for customers who add a second or third product</w:t>
            </w:r>
          </w:p>
        </w:tc>
        <w:tc>
          <w:tcPr>
            <w:tcW w:w="328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445DF29" w14:textId="77777777" w:rsidR="00B71FA0" w:rsidRDefault="0004094B">
            <w:r>
              <w:rPr>
                <w:sz w:val="20"/>
                <w:szCs w:val="20"/>
              </w:rPr>
              <w:t>Drives cross-sell and increases customer stickiness</w:t>
            </w:r>
          </w:p>
        </w:tc>
      </w:tr>
      <w:tr w:rsidR="00B71FA0" w14:paraId="0B50201E"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6C63E14" w14:textId="77777777" w:rsidR="00B71FA0" w:rsidRDefault="0004094B">
            <w:r>
              <w:rPr>
                <w:b/>
                <w:bCs/>
                <w:color w:val="2B3D2F"/>
                <w:sz w:val="20"/>
                <w:szCs w:val="20"/>
              </w:rPr>
              <w:t>NRR Performance Bonus</w:t>
            </w:r>
          </w:p>
        </w:tc>
        <w:tc>
          <w:tcPr>
            <w:tcW w:w="328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7E483CDC" w14:textId="77777777" w:rsidR="00B71FA0" w:rsidRDefault="0004094B">
            <w:r>
              <w:rPr>
                <w:sz w:val="20"/>
                <w:szCs w:val="20"/>
              </w:rPr>
              <w:t>Annual bonus for partners who maintain NRR above a defined threshold across their account base</w:t>
            </w:r>
          </w:p>
        </w:tc>
        <w:tc>
          <w:tcPr>
            <w:tcW w:w="328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453BB95" w14:textId="77777777" w:rsidR="00B71FA0" w:rsidRDefault="0004094B">
            <w:r>
              <w:rPr>
                <w:sz w:val="20"/>
                <w:szCs w:val="20"/>
              </w:rPr>
              <w:t>Aligns long-term partner behavior with customer retention outcomes</w:t>
            </w:r>
          </w:p>
        </w:tc>
      </w:tr>
      <w:tr w:rsidR="00B71FA0" w14:paraId="09C712AB"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1BECE256" w14:textId="77777777" w:rsidR="00B71FA0" w:rsidRDefault="0004094B">
            <w:r>
              <w:rPr>
                <w:b/>
                <w:bCs/>
                <w:color w:val="2B3D2F"/>
                <w:sz w:val="20"/>
                <w:szCs w:val="20"/>
              </w:rPr>
              <w:t>Health Score Improvement Incentive</w:t>
            </w:r>
          </w:p>
        </w:tc>
        <w:tc>
          <w:tcPr>
            <w:tcW w:w="328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9B3C300" w14:textId="77777777" w:rsidR="00B71FA0" w:rsidRDefault="0004094B">
            <w:r>
              <w:rPr>
                <w:sz w:val="20"/>
                <w:szCs w:val="20"/>
              </w:rPr>
              <w:t>Reward for partners who improve health scores in At Risk accounts</w:t>
            </w:r>
          </w:p>
        </w:tc>
        <w:tc>
          <w:tcPr>
            <w:tcW w:w="328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04CB4F6" w14:textId="77777777" w:rsidR="00B71FA0" w:rsidRDefault="0004094B">
            <w:r>
              <w:rPr>
                <w:sz w:val="20"/>
                <w:szCs w:val="20"/>
              </w:rPr>
              <w:t>Encourages investment in churn prevention, not just expansion</w:t>
            </w:r>
          </w:p>
        </w:tc>
      </w:tr>
    </w:tbl>
    <w:p w14:paraId="3C6EE2F4" w14:textId="77777777" w:rsidR="00B71FA0" w:rsidRDefault="00B71FA0">
      <w:pPr>
        <w:pBdr>
          <w:bottom w:val="single" w:sz="4" w:space="1" w:color="D0D8D2"/>
        </w:pBdr>
        <w:spacing w:before="120" w:after="360"/>
      </w:pPr>
    </w:p>
    <w:p w14:paraId="3D53EFE7" w14:textId="77777777" w:rsidR="00B71FA0" w:rsidRDefault="0004094B">
      <w:pPr>
        <w:pStyle w:val="Heading1"/>
        <w:pBdr>
          <w:bottom w:val="single" w:sz="8" w:space="4" w:color="46624C"/>
        </w:pBdr>
      </w:pPr>
      <w:r>
        <w:t>11 | Executive Dashboard Framework</w:t>
      </w:r>
    </w:p>
    <w:p w14:paraId="582745BC" w14:textId="77777777" w:rsidR="00B71FA0" w:rsidRDefault="0004094B">
      <w:pPr>
        <w:spacing w:before="80" w:after="120"/>
      </w:pPr>
      <w:r>
        <w:t>The following dashboard structure provides leadership with the visibility needed to manage partner expansion and retention performance at a program level. All views should be updated weekly and available in the primary reporting system without requiring manual export.</w:t>
      </w:r>
    </w:p>
    <w:p w14:paraId="75AB2ECF" w14:textId="77777777" w:rsidR="00B71FA0" w:rsidRDefault="00B71FA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1FA0" w14:paraId="14A9C71A" w14:textId="77777777">
        <w:trPr>
          <w:tblHeader/>
        </w:trPr>
        <w:tc>
          <w:tcPr>
            <w:tcW w:w="280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432FC285" w14:textId="77777777" w:rsidR="00B71FA0" w:rsidRDefault="0004094B">
            <w:r>
              <w:rPr>
                <w:b/>
                <w:bCs/>
                <w:color w:val="FFFFFF"/>
                <w:sz w:val="20"/>
                <w:szCs w:val="20"/>
              </w:rPr>
              <w:t>View</w:t>
            </w:r>
          </w:p>
        </w:tc>
        <w:tc>
          <w:tcPr>
            <w:tcW w:w="6560" w:type="dxa"/>
            <w:tcBorders>
              <w:top w:val="single" w:sz="4" w:space="0" w:color="D0D8D2"/>
              <w:left w:val="single" w:sz="4" w:space="0" w:color="D0D8D2"/>
              <w:bottom w:val="single" w:sz="4" w:space="0" w:color="D0D8D2"/>
              <w:right w:val="single" w:sz="4" w:space="0" w:color="D0D8D2"/>
            </w:tcBorders>
            <w:shd w:val="clear" w:color="auto" w:fill="2B3D2F"/>
            <w:tcMar>
              <w:top w:w="80" w:type="dxa"/>
              <w:left w:w="150" w:type="dxa"/>
              <w:bottom w:w="80" w:type="dxa"/>
              <w:right w:w="150" w:type="dxa"/>
            </w:tcMar>
            <w:vAlign w:val="center"/>
          </w:tcPr>
          <w:p w14:paraId="1A4643F5" w14:textId="77777777" w:rsidR="00B71FA0" w:rsidRDefault="0004094B">
            <w:r>
              <w:rPr>
                <w:b/>
                <w:bCs/>
                <w:color w:val="FFFFFF"/>
                <w:sz w:val="20"/>
                <w:szCs w:val="20"/>
              </w:rPr>
              <w:t>Contents</w:t>
            </w:r>
          </w:p>
        </w:tc>
      </w:tr>
      <w:tr w:rsidR="00B71FA0" w14:paraId="10629A37"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047F3A8" w14:textId="77777777" w:rsidR="00B71FA0" w:rsidRDefault="0004094B">
            <w:r>
              <w:rPr>
                <w:b/>
                <w:bCs/>
                <w:color w:val="2B3D2F"/>
                <w:sz w:val="20"/>
                <w:szCs w:val="20"/>
              </w:rPr>
              <w:t>Partner ARR Summary</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35B4B3F" w14:textId="77777777" w:rsidR="00B71FA0" w:rsidRDefault="0004094B">
            <w:r>
              <w:rPr>
                <w:sz w:val="20"/>
                <w:szCs w:val="20"/>
              </w:rPr>
              <w:t>New logo ARR vs. expansion ARR vs. churn ARR. Channel mix breakdown. YoY comparison. Gap to NRR and GRR targets.</w:t>
            </w:r>
          </w:p>
        </w:tc>
      </w:tr>
      <w:tr w:rsidR="00B71FA0" w14:paraId="23DC92BC"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1C2D9DE" w14:textId="77777777" w:rsidR="00B71FA0" w:rsidRDefault="0004094B">
            <w:r>
              <w:rPr>
                <w:b/>
                <w:bCs/>
                <w:color w:val="2B3D2F"/>
                <w:sz w:val="20"/>
                <w:szCs w:val="20"/>
              </w:rPr>
              <w:lastRenderedPageBreak/>
              <w:t>Expansion Pipeline Health</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1B2CE1BB" w14:textId="77777777" w:rsidR="00B71FA0" w:rsidRDefault="0004094B">
            <w:r>
              <w:rPr>
                <w:sz w:val="20"/>
                <w:szCs w:val="20"/>
              </w:rPr>
              <w:t>Total qualified expansion pipeline, coverage ratio vs. target, stage distribution, confidence tier breakdown by partner segment.</w:t>
            </w:r>
          </w:p>
        </w:tc>
      </w:tr>
      <w:tr w:rsidR="00B71FA0" w14:paraId="2937004C"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5FF5FAEE" w14:textId="77777777" w:rsidR="00B71FA0" w:rsidRDefault="0004094B">
            <w:r>
              <w:rPr>
                <w:b/>
                <w:bCs/>
                <w:color w:val="2B3D2F"/>
                <w:sz w:val="20"/>
                <w:szCs w:val="20"/>
              </w:rPr>
              <w:t>Renewal Dashboard</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7AA864FC" w14:textId="77777777" w:rsidR="00B71FA0" w:rsidRDefault="0004094B">
            <w:r>
              <w:rPr>
                <w:sz w:val="20"/>
                <w:szCs w:val="20"/>
              </w:rPr>
              <w:t>ARR at risk by cohort (180-, 90-, 60-, 30-day). Renewal plan status by partner. At-risk accounts with no active partner engagement.</w:t>
            </w:r>
          </w:p>
        </w:tc>
      </w:tr>
      <w:tr w:rsidR="00B71FA0" w14:paraId="164D76AB"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3E133B0D" w14:textId="77777777" w:rsidR="00B71FA0" w:rsidRDefault="0004094B">
            <w:r>
              <w:rPr>
                <w:b/>
                <w:bCs/>
                <w:color w:val="2B3D2F"/>
                <w:sz w:val="20"/>
                <w:szCs w:val="20"/>
              </w:rPr>
              <w:t>Partner Expansion Leaderboard</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02CD3A97" w14:textId="77777777" w:rsidR="00B71FA0" w:rsidRDefault="0004094B">
            <w:r>
              <w:rPr>
                <w:sz w:val="20"/>
                <w:szCs w:val="20"/>
              </w:rPr>
              <w:t>Top 10 partners by expansion ARR, ranked separately from new logo performance. Expansion rate by partner tier. Multi-product adoption rate.</w:t>
            </w:r>
          </w:p>
        </w:tc>
      </w:tr>
      <w:tr w:rsidR="00B71FA0" w14:paraId="642067C2" w14:textId="77777777">
        <w:tc>
          <w:tcPr>
            <w:tcW w:w="280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34CE405C" w14:textId="77777777" w:rsidR="00B71FA0" w:rsidRDefault="0004094B">
            <w:r>
              <w:rPr>
                <w:b/>
                <w:bCs/>
                <w:color w:val="2B3D2F"/>
                <w:sz w:val="20"/>
                <w:szCs w:val="20"/>
              </w:rPr>
              <w:t>Account Health Summary</w:t>
            </w:r>
          </w:p>
        </w:tc>
        <w:tc>
          <w:tcPr>
            <w:tcW w:w="6560" w:type="dxa"/>
            <w:tcBorders>
              <w:top w:val="single" w:sz="4" w:space="0" w:color="D0D8D2"/>
              <w:left w:val="single" w:sz="4" w:space="0" w:color="D0D8D2"/>
              <w:bottom w:val="single" w:sz="4" w:space="0" w:color="D0D8D2"/>
              <w:right w:val="single" w:sz="4" w:space="0" w:color="D0D8D2"/>
            </w:tcBorders>
            <w:shd w:val="clear" w:color="auto" w:fill="FFFFFF"/>
            <w:tcMar>
              <w:top w:w="80" w:type="dxa"/>
              <w:left w:w="150" w:type="dxa"/>
              <w:bottom w:w="80" w:type="dxa"/>
              <w:right w:w="150" w:type="dxa"/>
            </w:tcMar>
            <w:vAlign w:val="center"/>
          </w:tcPr>
          <w:p w14:paraId="6787E9C7" w14:textId="77777777" w:rsidR="00B71FA0" w:rsidRDefault="0004094B">
            <w:r>
              <w:rPr>
                <w:sz w:val="20"/>
                <w:szCs w:val="20"/>
              </w:rPr>
              <w:t>Distribution of partner-attached accounts across Expansion Ready, Healthy/Maintain, and At Risk tiers. Trend direction (accounts moving between tiers).</w:t>
            </w:r>
          </w:p>
        </w:tc>
      </w:tr>
      <w:tr w:rsidR="00B71FA0" w14:paraId="653DFE7F" w14:textId="77777777">
        <w:tc>
          <w:tcPr>
            <w:tcW w:w="280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4A396FF7" w14:textId="77777777" w:rsidR="00B71FA0" w:rsidRDefault="0004094B">
            <w:r>
              <w:rPr>
                <w:b/>
                <w:bCs/>
                <w:color w:val="2B3D2F"/>
                <w:sz w:val="20"/>
                <w:szCs w:val="20"/>
              </w:rPr>
              <w:t>At-Risk &amp; Action Items</w:t>
            </w:r>
          </w:p>
        </w:tc>
        <w:tc>
          <w:tcPr>
            <w:tcW w:w="6560" w:type="dxa"/>
            <w:tcBorders>
              <w:top w:val="single" w:sz="4" w:space="0" w:color="D0D8D2"/>
              <w:left w:val="single" w:sz="4" w:space="0" w:color="D0D8D2"/>
              <w:bottom w:val="single" w:sz="4" w:space="0" w:color="D0D8D2"/>
              <w:right w:val="single" w:sz="4" w:space="0" w:color="D0D8D2"/>
            </w:tcBorders>
            <w:shd w:val="clear" w:color="auto" w:fill="F5F5F3"/>
            <w:tcMar>
              <w:top w:w="80" w:type="dxa"/>
              <w:left w:w="150" w:type="dxa"/>
              <w:bottom w:w="80" w:type="dxa"/>
              <w:right w:w="150" w:type="dxa"/>
            </w:tcMar>
            <w:vAlign w:val="center"/>
          </w:tcPr>
          <w:p w14:paraId="1889458D" w14:textId="77777777" w:rsidR="00B71FA0" w:rsidRDefault="0004094B">
            <w:r>
              <w:rPr>
                <w:sz w:val="20"/>
                <w:szCs w:val="20"/>
              </w:rPr>
              <w:t>Accounts in health score decline, partners with below-average renewal rates, churned ARR with root cause, recovery actions with owners and due dates.</w:t>
            </w:r>
          </w:p>
        </w:tc>
      </w:tr>
    </w:tbl>
    <w:p w14:paraId="7A9AF739" w14:textId="77777777" w:rsidR="00B71FA0" w:rsidRDefault="00B71FA0">
      <w:pPr>
        <w:pBdr>
          <w:bottom w:val="single" w:sz="4" w:space="1" w:color="D0D8D2"/>
        </w:pBdr>
        <w:spacing w:before="120" w:after="360"/>
      </w:pPr>
    </w:p>
    <w:p w14:paraId="260B4337" w14:textId="77777777" w:rsidR="00B71FA0" w:rsidRDefault="0004094B">
      <w:pPr>
        <w:pStyle w:val="Heading1"/>
        <w:pBdr>
          <w:bottom w:val="single" w:sz="8" w:space="4" w:color="46624C"/>
        </w:pBdr>
      </w:pPr>
      <w:r>
        <w:t>12 | Framework Summary</w:t>
      </w:r>
    </w:p>
    <w:p w14:paraId="191E520D" w14:textId="0AEFF71B" w:rsidR="00B71FA0" w:rsidRDefault="0004094B">
      <w:pPr>
        <w:spacing w:before="80" w:after="120"/>
      </w:pPr>
      <w:r>
        <w:t>The most scalable partner revenue programs treat expansion as a first-class motion, not a secondary outcome of customer success. This playbook provides the structure to operationalize that motion: a lifecycle model that identifies when expansion conversations are appropriate, a signal framework that tells partners where to look, repeatable plays that give partners a consistent process to follow, a health scoring model that directs effort toward accounts most likely to expand, and a metrics framework that makes the program's contribution to NRR visible and accountable.</w:t>
      </w:r>
    </w:p>
    <w:p w14:paraId="3B3E719F" w14:textId="77777777" w:rsidR="00B71FA0" w:rsidRDefault="0004094B">
      <w:pPr>
        <w:spacing w:before="80" w:after="120"/>
      </w:pPr>
      <w:r>
        <w:t>Partners who operate this system consistently will outperform peers on NRR, retention rate, and lifetime customer value. Program leaders who build the supporting incentive, tooling, and reporting infrastructure will create a partner base capable of sustaining expansion revenue at scale.</w:t>
      </w:r>
    </w:p>
    <w:p w14:paraId="6599C3BD" w14:textId="72E9AF9B" w:rsidR="00B71FA0" w:rsidRDefault="0004094B">
      <w:pPr>
        <w:pBdr>
          <w:left w:val="single" w:sz="12" w:space="10" w:color="46624C"/>
        </w:pBdr>
        <w:spacing w:before="160" w:after="200"/>
        <w:ind w:left="480"/>
      </w:pPr>
      <w:r>
        <w:rPr>
          <w:i/>
          <w:iCs/>
          <w:color w:val="46624C"/>
        </w:rPr>
        <w:t>Expansion revenue is not found. It is built, through structured motions, consistent engagement, and a clear understanding of where and when customers are ready to grow.</w:t>
      </w:r>
    </w:p>
    <w:p w14:paraId="56F727D7" w14:textId="77777777" w:rsidR="00B71FA0" w:rsidRDefault="00B71FA0">
      <w:pPr>
        <w:spacing w:after="360"/>
      </w:pPr>
    </w:p>
    <w:p w14:paraId="62C03872" w14:textId="77777777" w:rsidR="00B71FA0" w:rsidRDefault="0004094B">
      <w:pPr>
        <w:jc w:val="center"/>
      </w:pPr>
      <w:r>
        <w:rPr>
          <w:color w:val="46624C"/>
        </w:rPr>
        <w:t>jamiereidchannelstrategy.com</w:t>
      </w:r>
    </w:p>
    <w:p w14:paraId="03426959" w14:textId="77777777" w:rsidR="00B71FA0" w:rsidRDefault="00B71FA0">
      <w:pPr>
        <w:spacing w:after="80"/>
      </w:pPr>
    </w:p>
    <w:sectPr w:rsidR="00B71FA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M Sans">
    <w:charset w:val="00"/>
    <w:family w:val="auto"/>
    <w:pitch w:val="variable"/>
    <w:sig w:usb0="8000002F" w:usb1="5000205B" w:usb2="00000000" w:usb3="00000000" w:csb0="00000093" w:csb1="00000000"/>
  </w:font>
  <w:font w:name="Bebas Neue">
    <w:charset w:val="00"/>
    <w:family w:val="swiss"/>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98B"/>
    <w:multiLevelType w:val="hybridMultilevel"/>
    <w:tmpl w:val="2E7A6532"/>
    <w:lvl w:ilvl="0" w:tplc="8530E8F0">
      <w:start w:val="1"/>
      <w:numFmt w:val="bullet"/>
      <w:lvlText w:val="–"/>
      <w:lvlJc w:val="left"/>
      <w:pPr>
        <w:ind w:left="880" w:hanging="280"/>
      </w:pPr>
    </w:lvl>
    <w:lvl w:ilvl="1" w:tplc="DD664344">
      <w:numFmt w:val="decimal"/>
      <w:lvlText w:val=""/>
      <w:lvlJc w:val="left"/>
    </w:lvl>
    <w:lvl w:ilvl="2" w:tplc="1C2C3416">
      <w:numFmt w:val="decimal"/>
      <w:lvlText w:val=""/>
      <w:lvlJc w:val="left"/>
    </w:lvl>
    <w:lvl w:ilvl="3" w:tplc="B3A06D44">
      <w:numFmt w:val="decimal"/>
      <w:lvlText w:val=""/>
      <w:lvlJc w:val="left"/>
    </w:lvl>
    <w:lvl w:ilvl="4" w:tplc="68E0D5A2">
      <w:numFmt w:val="decimal"/>
      <w:lvlText w:val=""/>
      <w:lvlJc w:val="left"/>
    </w:lvl>
    <w:lvl w:ilvl="5" w:tplc="5A828986">
      <w:numFmt w:val="decimal"/>
      <w:lvlText w:val=""/>
      <w:lvlJc w:val="left"/>
    </w:lvl>
    <w:lvl w:ilvl="6" w:tplc="7FD240BA">
      <w:numFmt w:val="decimal"/>
      <w:lvlText w:val=""/>
      <w:lvlJc w:val="left"/>
    </w:lvl>
    <w:lvl w:ilvl="7" w:tplc="A13044CC">
      <w:numFmt w:val="decimal"/>
      <w:lvlText w:val=""/>
      <w:lvlJc w:val="left"/>
    </w:lvl>
    <w:lvl w:ilvl="8" w:tplc="D0BAF056">
      <w:numFmt w:val="decimal"/>
      <w:lvlText w:val=""/>
      <w:lvlJc w:val="left"/>
    </w:lvl>
  </w:abstractNum>
  <w:abstractNum w:abstractNumId="1" w15:restartNumberingAfterBreak="0">
    <w:nsid w:val="22E57075"/>
    <w:multiLevelType w:val="hybridMultilevel"/>
    <w:tmpl w:val="92AE9174"/>
    <w:lvl w:ilvl="0" w:tplc="BA7E02C0">
      <w:start w:val="1"/>
      <w:numFmt w:val="bullet"/>
      <w:lvlText w:val="●"/>
      <w:lvlJc w:val="left"/>
      <w:pPr>
        <w:ind w:left="720" w:hanging="360"/>
      </w:pPr>
    </w:lvl>
    <w:lvl w:ilvl="1" w:tplc="C9160DEA">
      <w:start w:val="1"/>
      <w:numFmt w:val="bullet"/>
      <w:lvlText w:val="○"/>
      <w:lvlJc w:val="left"/>
      <w:pPr>
        <w:ind w:left="1440" w:hanging="360"/>
      </w:pPr>
    </w:lvl>
    <w:lvl w:ilvl="2" w:tplc="1778D046">
      <w:start w:val="1"/>
      <w:numFmt w:val="bullet"/>
      <w:lvlText w:val="■"/>
      <w:lvlJc w:val="left"/>
      <w:pPr>
        <w:ind w:left="2160" w:hanging="360"/>
      </w:pPr>
    </w:lvl>
    <w:lvl w:ilvl="3" w:tplc="993058B4">
      <w:start w:val="1"/>
      <w:numFmt w:val="bullet"/>
      <w:lvlText w:val="●"/>
      <w:lvlJc w:val="left"/>
      <w:pPr>
        <w:ind w:left="2880" w:hanging="360"/>
      </w:pPr>
    </w:lvl>
    <w:lvl w:ilvl="4" w:tplc="859C389E">
      <w:start w:val="1"/>
      <w:numFmt w:val="bullet"/>
      <w:lvlText w:val="○"/>
      <w:lvlJc w:val="left"/>
      <w:pPr>
        <w:ind w:left="3600" w:hanging="360"/>
      </w:pPr>
    </w:lvl>
    <w:lvl w:ilvl="5" w:tplc="8692212A">
      <w:start w:val="1"/>
      <w:numFmt w:val="bullet"/>
      <w:lvlText w:val="■"/>
      <w:lvlJc w:val="left"/>
      <w:pPr>
        <w:ind w:left="4320" w:hanging="360"/>
      </w:pPr>
    </w:lvl>
    <w:lvl w:ilvl="6" w:tplc="A12A47B4">
      <w:start w:val="1"/>
      <w:numFmt w:val="bullet"/>
      <w:lvlText w:val="●"/>
      <w:lvlJc w:val="left"/>
      <w:pPr>
        <w:ind w:left="5040" w:hanging="360"/>
      </w:pPr>
    </w:lvl>
    <w:lvl w:ilvl="7" w:tplc="19787852">
      <w:start w:val="1"/>
      <w:numFmt w:val="bullet"/>
      <w:lvlText w:val="●"/>
      <w:lvlJc w:val="left"/>
      <w:pPr>
        <w:ind w:left="5760" w:hanging="360"/>
      </w:pPr>
    </w:lvl>
    <w:lvl w:ilvl="8" w:tplc="8536D8BC">
      <w:start w:val="1"/>
      <w:numFmt w:val="bullet"/>
      <w:lvlText w:val="●"/>
      <w:lvlJc w:val="left"/>
      <w:pPr>
        <w:ind w:left="6480" w:hanging="360"/>
      </w:pPr>
    </w:lvl>
  </w:abstractNum>
  <w:abstractNum w:abstractNumId="2" w15:restartNumberingAfterBreak="0">
    <w:nsid w:val="3254003A"/>
    <w:multiLevelType w:val="hybridMultilevel"/>
    <w:tmpl w:val="DDE68306"/>
    <w:lvl w:ilvl="0" w:tplc="1B4ED1EE">
      <w:start w:val="1"/>
      <w:numFmt w:val="bullet"/>
      <w:lvlText w:val="•"/>
      <w:lvlJc w:val="left"/>
      <w:pPr>
        <w:ind w:left="560" w:hanging="280"/>
      </w:pPr>
    </w:lvl>
    <w:lvl w:ilvl="1" w:tplc="0E540ECE">
      <w:numFmt w:val="decimal"/>
      <w:lvlText w:val=""/>
      <w:lvlJc w:val="left"/>
    </w:lvl>
    <w:lvl w:ilvl="2" w:tplc="4724960A">
      <w:numFmt w:val="decimal"/>
      <w:lvlText w:val=""/>
      <w:lvlJc w:val="left"/>
    </w:lvl>
    <w:lvl w:ilvl="3" w:tplc="68E8EFFA">
      <w:numFmt w:val="decimal"/>
      <w:lvlText w:val=""/>
      <w:lvlJc w:val="left"/>
    </w:lvl>
    <w:lvl w:ilvl="4" w:tplc="DCFAE48C">
      <w:numFmt w:val="decimal"/>
      <w:lvlText w:val=""/>
      <w:lvlJc w:val="left"/>
    </w:lvl>
    <w:lvl w:ilvl="5" w:tplc="57F01D96">
      <w:numFmt w:val="decimal"/>
      <w:lvlText w:val=""/>
      <w:lvlJc w:val="left"/>
    </w:lvl>
    <w:lvl w:ilvl="6" w:tplc="58226D80">
      <w:numFmt w:val="decimal"/>
      <w:lvlText w:val=""/>
      <w:lvlJc w:val="left"/>
    </w:lvl>
    <w:lvl w:ilvl="7" w:tplc="1FA45EF4">
      <w:numFmt w:val="decimal"/>
      <w:lvlText w:val=""/>
      <w:lvlJc w:val="left"/>
    </w:lvl>
    <w:lvl w:ilvl="8" w:tplc="37925CC6">
      <w:numFmt w:val="decimal"/>
      <w:lvlText w:val=""/>
      <w:lvlJc w:val="left"/>
    </w:lvl>
  </w:abstractNum>
  <w:abstractNum w:abstractNumId="3" w15:restartNumberingAfterBreak="0">
    <w:nsid w:val="4FA1230E"/>
    <w:multiLevelType w:val="hybridMultilevel"/>
    <w:tmpl w:val="F4A898C2"/>
    <w:lvl w:ilvl="0" w:tplc="BF2EFC8C">
      <w:start w:val="1"/>
      <w:numFmt w:val="decimal"/>
      <w:lvlText w:val="%1."/>
      <w:lvlJc w:val="left"/>
      <w:pPr>
        <w:ind w:left="560" w:hanging="280"/>
      </w:pPr>
    </w:lvl>
    <w:lvl w:ilvl="1" w:tplc="4BC2A886">
      <w:numFmt w:val="decimal"/>
      <w:lvlText w:val=""/>
      <w:lvlJc w:val="left"/>
    </w:lvl>
    <w:lvl w:ilvl="2" w:tplc="BC9C52C4">
      <w:numFmt w:val="decimal"/>
      <w:lvlText w:val=""/>
      <w:lvlJc w:val="left"/>
    </w:lvl>
    <w:lvl w:ilvl="3" w:tplc="B672B6F8">
      <w:numFmt w:val="decimal"/>
      <w:lvlText w:val=""/>
      <w:lvlJc w:val="left"/>
    </w:lvl>
    <w:lvl w:ilvl="4" w:tplc="DD9AEF06">
      <w:numFmt w:val="decimal"/>
      <w:lvlText w:val=""/>
      <w:lvlJc w:val="left"/>
    </w:lvl>
    <w:lvl w:ilvl="5" w:tplc="6742C03E">
      <w:numFmt w:val="decimal"/>
      <w:lvlText w:val=""/>
      <w:lvlJc w:val="left"/>
    </w:lvl>
    <w:lvl w:ilvl="6" w:tplc="C0E6A852">
      <w:numFmt w:val="decimal"/>
      <w:lvlText w:val=""/>
      <w:lvlJc w:val="left"/>
    </w:lvl>
    <w:lvl w:ilvl="7" w:tplc="C5561C04">
      <w:numFmt w:val="decimal"/>
      <w:lvlText w:val=""/>
      <w:lvlJc w:val="left"/>
    </w:lvl>
    <w:lvl w:ilvl="8" w:tplc="2030589E">
      <w:numFmt w:val="decimal"/>
      <w:lvlText w:val=""/>
      <w:lvlJc w:val="left"/>
    </w:lvl>
  </w:abstractNum>
  <w:num w:numId="1" w16cid:durableId="1679306352">
    <w:abstractNumId w:val="1"/>
    <w:lvlOverride w:ilvl="0">
      <w:startOverride w:val="1"/>
    </w:lvlOverride>
  </w:num>
  <w:num w:numId="2" w16cid:durableId="167163440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A0"/>
    <w:rsid w:val="0004094B"/>
    <w:rsid w:val="0028263D"/>
    <w:rsid w:val="002D393D"/>
    <w:rsid w:val="00601E90"/>
    <w:rsid w:val="007343B4"/>
    <w:rsid w:val="009B17FE"/>
    <w:rsid w:val="00B71FA0"/>
    <w:rsid w:val="00D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E2F4"/>
  <w15:docId w15:val="{93E07FAD-A39D-4148-98C4-4B121193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DM Sans" w:hAnsi="DM Sans" w:cs="DM Sans"/>
        <w:color w:val="141414"/>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rFonts w:ascii="Bebas Neue" w:eastAsia="Bebas Neue" w:hAnsi="Bebas Neue" w:cs="Bebas Neue"/>
      <w:color w:val="46624C"/>
      <w:sz w:val="44"/>
      <w:szCs w:val="44"/>
    </w:rPr>
  </w:style>
  <w:style w:type="paragraph" w:styleId="Heading2">
    <w:name w:val="heading 2"/>
    <w:uiPriority w:val="9"/>
    <w:unhideWhenUsed/>
    <w:qFormat/>
    <w:pPr>
      <w:spacing w:before="320" w:after="120"/>
      <w:outlineLvl w:val="1"/>
    </w:pPr>
    <w:rPr>
      <w:b/>
      <w:bCs/>
      <w:color w:val="2B3D2F"/>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pPr>
      <w:ind w:left="56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jamie reid</cp:lastModifiedBy>
  <cp:revision>2</cp:revision>
  <dcterms:created xsi:type="dcterms:W3CDTF">2026-03-10T17:35:00Z</dcterms:created>
  <dcterms:modified xsi:type="dcterms:W3CDTF">2026-03-10T17:35:00Z</dcterms:modified>
</cp:coreProperties>
</file>